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Zwiener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188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county to regulate impervious cover in the unincorporated area of the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240, Local Government Code, is amended by adding Section 240.912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240.912.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IMPERVIOUS COVER IN UNINCORPORATED AREA.  The commissioners court of a county may regulate impervious cover located in the unincorporated area of the county for the purpose of: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protecting, mitigating, or reducing flood risk;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the development of flood projects, as defined by Section 15.531(2), Water Code;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drainage;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promoting nature-based features to reduce flooding.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188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