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outdoor warning sirens in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delegate to a state agency the authority to administer the grant program established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FLOOD-PRONE AREAS.  (a)  The board shall identify each area in a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board shall require the appropriate municipality or county to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not require an outdoor warning siren for an area in which a governmental entity already maintains and operates an outdoor warning siren that meets the minimum standards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shall 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determinations under this section on whether an area requires an outdoor warning siren are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procedures for the operation of an outdoor warning siren in a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minimum standards for an outdoor warning siren installed, maintained, or operated in a flood-prone area, including standards requiring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consult with other entities when adopting rules and procedures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