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sates through the United States Supreme Court's interpretation of the Fourteenth Amendment to the United States Constitution, or protected by Section 8, Article I, Texas Constitution;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Notwithstanding any other law and except as provided by this section or by section</w:t>
      </w:r>
      <w:r>
        <w:rPr>
          <w:u w:val="single"/>
        </w:rPr>
        <w:t xml:space="preserve"> </w:t>
      </w:r>
      <w:r>
        <w:rPr>
          <w:u w:val="single"/>
        </w:rPr>
        <w:t xml:space="preserve">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w:t>
      </w:r>
      <w:r>
        <w:rPr>
          <w:u w:val="single"/>
        </w:rPr>
        <w:t xml:space="preserve"> </w:t>
      </w:r>
      <w:r>
        <w:rPr>
          <w:u w:val="single"/>
        </w:rPr>
        <w:t xml:space="preserve">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This section does not preclude an award of sanctions under Chapter 10, Civil Practice and Remedies Code, nor does it preclude a court from sanctioning a litigant or attorney for frivolous, malicious, or bad-faith conduct.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w:t>
      </w:r>
      <w:r>
        <w:rPr>
          <w:u w:val="single"/>
        </w:rPr>
        <w:t xml:space="preserve"> </w:t>
      </w:r>
      <w:r>
        <w:rPr>
          <w:u w:val="single"/>
        </w:rPr>
        <w:t xml:space="preserve">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w:t>
      </w:r>
      <w:r>
        <w:rPr>
          <w:u w:val="single"/>
        </w:rPr>
        <w:t xml:space="preserve"> </w:t>
      </w:r>
      <w:r>
        <w:rPr>
          <w:u w:val="single"/>
        </w:rPr>
        <w:t xml:space="preserve">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w:t>
      </w:r>
      <w:r>
        <w:rPr>
          <w:u w:val="single"/>
        </w:rPr>
        <w:t xml:space="preserve"> </w:t>
      </w:r>
      <w:r>
        <w:rPr>
          <w:u w:val="single"/>
        </w:rPr>
        <w:t xml:space="preserve">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w:t>
      </w:r>
      <w:r>
        <w:rPr>
          <w:u w:val="single"/>
        </w:rPr>
        <w:t xml:space="preserve"> </w:t>
      </w:r>
      <w:r>
        <w:rPr>
          <w:u w:val="single"/>
        </w:rPr>
        <w:t xml:space="preserve">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w:t>
      </w:r>
      <w:r>
        <w:rPr>
          <w:u w:val="single"/>
        </w:rPr>
        <w:t xml:space="preserve"> </w:t>
      </w:r>
      <w:r>
        <w:rPr>
          <w:u w:val="single"/>
        </w:rPr>
        <w:t xml:space="preserve">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(a)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 </w:t>
      </w:r>
      <w:r>
        <w:t xml:space="preserve">from enforcing </w:t>
      </w:r>
      <w:r>
        <w:rPr>
          <w:u w:val="single"/>
        </w:rPr>
        <w:t xml:space="preserve">or bringing an action to enforce</w:t>
      </w:r>
      <w:r>
        <w:t xml:space="preserv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w:t>
      </w:r>
      <w:r>
        <w:t xml:space="preserv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w:t>
      </w:r>
      <w:r>
        <w:rPr>
          <w:strike/>
        </w:rPr>
        <w:t xml:space="preserve">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w:t>
      </w:r>
      <w:r>
        <w:t xml:space="preserve"> </w:t>
      </w:r>
      <w:r>
        <w:t xml:space="preserve">dismisses any claim or cause of action brought against the party </w:t>
      </w:r>
      <w:r>
        <w:rPr>
          <w:u w:val="single"/>
        </w:rPr>
        <w:t xml:space="preserve">by a litigant</w:t>
      </w:r>
      <w:r>
        <w:t xml:space="preserve"> </w:t>
      </w:r>
      <w:r>
        <w:t xml:space="preserve">that seeks the declaratory or injunctive relief described by Subsection (a), regardless of the reason for the dismissal;</w:t>
      </w:r>
      <w:r>
        <w:rPr>
          <w:strike/>
        </w:rP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w:t>
      </w:r>
      <w:r>
        <w:t xml:space="preserve">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t xml:space="preserve">(</w:t>
      </w:r>
      <w:r>
        <w:rPr>
          <w:strike/>
        </w:rPr>
        <w:t xml:space="preserve">c</w:t>
      </w:r>
      <w:r>
        <w:rPr>
          <w:u w:val="single"/>
        </w:rPr>
        <w:t xml:space="preserve">d</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w:t>
      </w:r>
      <w:r>
        <w:rPr>
          <w:strike/>
        </w:rPr>
        <w:t xml:space="preserve">d</w:t>
      </w:r>
      <w:r>
        <w:rPr>
          <w:u w:val="single"/>
        </w:rPr>
        <w:t xml:space="preserve">e</w:t>
      </w:r>
      <w:r>
        <w:t xml:space="preserve">)</w:t>
      </w:r>
      <w:r xml:space="preserve">
        <w:t> </w:t>
      </w:r>
      <w:r xml:space="preserve">
        <w:t> </w:t>
      </w:r>
      <w:r>
        <w:rPr>
          <w:u w:val="single"/>
        </w:rPr>
        <w:t xml:space="preserve">Notwithstanding any other law, i</w:t>
      </w:r>
      <w:r>
        <w:rPr>
          <w:strike/>
        </w:rPr>
        <w:t xml:space="preserve">I</w:t>
      </w:r>
      <w:r>
        <w:t xml:space="preserve">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