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8</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4,</w:t>
      </w:r>
      <w:r xml:space="preserve">
        <w:t> </w:t>
      </w:r>
      <w:r>
        <w:t xml:space="preserve">2025; August</w:t>
      </w:r>
      <w:r xml:space="preserve">
        <w:t> </w:t>
      </w:r>
      <w:r>
        <w:t xml:space="preserve">4,</w:t>
      </w:r>
      <w:r xml:space="preserve">
        <w:t> </w:t>
      </w:r>
      <w:r>
        <w:t xml:space="preserve">2025, read first time and referred to Committee on Education K-16; August</w:t>
      </w:r>
      <w:r xml:space="preserve">
        <w:t> </w:t>
      </w:r>
      <w:r>
        <w:t xml:space="preserve">6,</w:t>
      </w:r>
      <w:r xml:space="preserve">
        <w:t> </w:t>
      </w:r>
      <w:r>
        <w:t xml:space="preserve">2025, reported favorably by the following vote:</w:t>
      </w:r>
      <w:r>
        <w:t xml:space="preserve"> </w:t>
      </w:r>
      <w:r>
        <w:t xml:space="preserve"> </w:t>
      </w:r>
      <w:r>
        <w:t xml:space="preserve">Yeas 9, Nays 0; August</w:t>
      </w:r>
      <w:r xml:space="preserve">
        <w:t> </w:t>
      </w:r>
      <w:r>
        <w:t xml:space="preserve">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w:t>
      </w:r>
      <w:r>
        <w:rPr>
          <w:u w:val="single"/>
        </w:rPr>
        <w:t xml:space="preserve"> </w:t>
      </w:r>
      <w:r>
        <w:rPr>
          <w:u w:val="single"/>
        </w:rPr>
        <w:t xml:space="preserve">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(c), (h), (i), and (l) and adding Subsection (q)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w:t>
      </w:r>
      <w:r>
        <w:t xml:space="preserve">end-of-course assessment instruments for secondary-level courses in Algebra I, biology, English I, English II, and United States history </w:t>
      </w:r>
      <w:r>
        <w:rPr>
          <w:u w:val="single"/>
        </w:rPr>
        <w:t xml:space="preserve">and provide for the availability of optional beginning-of-year and middle-of-year assessment instruments for those courses</w:t>
      </w:r>
      <w:r>
        <w:t xml:space="preserve">.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w:t>
      </w:r>
      <w:r>
        <w:rPr>
          <w:strike/>
        </w:rPr>
        <w:t xml:space="preserve">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w:t>
      </w:r>
      <w:r>
        <w:t xml:space="preserve"> </w:t>
      </w:r>
      <w:r>
        <w:t xml:space="preserve">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in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39.0263,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prohibition prescribed by this section does not apply to an assessment instrument administered during the 2027-2028 or 2028-2029 school year that is under review but not yet approved by the agency for inclusion in the list of approved alternative beginning-of-year and middle-of-year assessment instruments under Section 39.023(q).  This subsection expires September 1, 2029.</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(a-16), (c-1), (c-3), (c-6), (c-7), (c-8), (c-10), (d), (e), (e-1), (f), (g), (o), and (p);</w:t>
      </w:r>
    </w:p>
    <w:p w:rsidR="003F3435" w:rsidRDefault="0032493E">
      <w:pPr>
        <w:spacing w:line="480" w:lineRule="auto"/>
        <w:ind w:firstLine="1440"/>
        <w:jc w:val="both"/>
      </w:pPr>
      <w:r>
        <w:t xml:space="preserve">(2)</w:t>
      </w:r>
      <w:r xml:space="preserve">
        <w:t> </w:t>
      </w:r>
      <w:r xml:space="preserve">
        <w:t> </w:t>
      </w:r>
      <w:r>
        <w:t xml:space="preserve">Sections 39.025(a-1) and (a-3);</w:t>
      </w:r>
    </w:p>
    <w:p w:rsidR="003F3435" w:rsidRDefault="0032493E">
      <w:pPr>
        <w:spacing w:line="480" w:lineRule="auto"/>
        <w:ind w:firstLine="1440"/>
        <w:jc w:val="both"/>
      </w:pPr>
      <w:r>
        <w:t xml:space="preserve">(3)</w:t>
      </w:r>
      <w:r xml:space="preserve">
        <w:t> </w:t>
      </w:r>
      <w:r xml:space="preserve">
        <w:t> </w:t>
      </w:r>
      <w:r>
        <w:t xml:space="preserve">Section 39.026;</w:t>
      </w:r>
    </w:p>
    <w:p w:rsidR="003F3435" w:rsidRDefault="0032493E">
      <w:pPr>
        <w:spacing w:line="480" w:lineRule="auto"/>
        <w:ind w:firstLine="1440"/>
        <w:jc w:val="both"/>
      </w:pPr>
      <w:r>
        <w:t xml:space="preserve">(4)</w:t>
      </w:r>
      <w:r xml:space="preserve">
        <w:t> </w:t>
      </w:r>
      <w:r xml:space="preserve">
        <w:t> </w:t>
      </w:r>
      <w:r>
        <w:t xml:space="preserve">Section 39.0262;</w:t>
      </w:r>
    </w:p>
    <w:p w:rsidR="003F3435" w:rsidRDefault="0032493E">
      <w:pPr>
        <w:spacing w:line="480" w:lineRule="auto"/>
        <w:ind w:firstLine="1440"/>
        <w:jc w:val="both"/>
      </w:pPr>
      <w:r>
        <w:t xml:space="preserve">(5)</w:t>
      </w:r>
      <w:r xml:space="preserve">
        <w:t> </w:t>
      </w:r>
      <w:r xml:space="preserve">
        <w:t> </w:t>
      </w:r>
      <w:r>
        <w:t xml:space="preserve">Sections 39.034(c), (d), and (d-1);</w:t>
      </w:r>
    </w:p>
    <w:p w:rsidR="003F3435" w:rsidRDefault="0032493E">
      <w:pPr>
        <w:spacing w:line="480" w:lineRule="auto"/>
        <w:ind w:firstLine="1440"/>
        <w:jc w:val="both"/>
      </w:pPr>
      <w:r>
        <w:t xml:space="preserve">(6)</w:t>
      </w:r>
      <w:r xml:space="preserve">
        <w:t> </w:t>
      </w:r>
      <w:r xml:space="preserve">
        <w:t> </w:t>
      </w:r>
      <w:r>
        <w:t xml:space="preserve">Section 39.302; and</w:t>
      </w:r>
    </w:p>
    <w:p w:rsidR="003F3435" w:rsidRDefault="0032493E">
      <w:pPr>
        <w:spacing w:line="480" w:lineRule="auto"/>
        <w:ind w:firstLine="1440"/>
        <w:jc w:val="both"/>
      </w:pPr>
      <w:r>
        <w:t xml:space="preserve">(7)</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Subchapter C, Chapter 39, Education Code, is amended by adding Section 39.0511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39.0511.</w:t>
      </w:r>
      <w:r>
        <w:rPr>
          <w:u w:val="single"/>
        </w:rPr>
        <w:t xml:space="preserve"> </w:t>
      </w:r>
      <w:r>
        <w:rPr>
          <w:u w:val="single"/>
        </w:rPr>
        <w:t xml:space="preserve"> </w:t>
      </w:r>
      <w:r>
        <w:rPr>
          <w:u w:val="single"/>
        </w:rPr>
        <w:t xml:space="preserve">WAIVER REQUEST FOR CERTAIN FEDERAL ACCOUNTABILITY-RELATED REQUIREMENTS. </w:t>
      </w:r>
      <w:r>
        <w:rPr>
          <w:u w:val="single"/>
        </w:rPr>
        <w:t xml:space="preserve"> </w:t>
      </w:r>
      <w:r>
        <w:rPr>
          <w:u w:val="single"/>
        </w:rPr>
        <w:t xml:space="preserve">(a)  This section applies to a school district campus in which at least 90 percent of the students receive special education services under Subchapter A, Chapter 29.</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January 1, 2026, the commissioner shall apply to the United States Department of Education for a waiver of requirements under the Every Student Succeeds Act (20 U.S.C. Section 6301 et seq.) related to the rate of participation in the assessment program and high school graduation rates for each school district campus to which this section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Section 39.053, Education Code, is amended by amending Subsections (a), (c), and (f) and adding Subsections (c-4), (c-5), (c-6),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w:t>
      </w:r>
      <w:r>
        <w:rPr>
          <w:strike/>
        </w:rPr>
        <w:t xml:space="preserve">,</w:t>
      </w:r>
      <w:r>
        <w:t xml:space="preserve">] socioeconomic backgrounds[</w:t>
      </w:r>
      <w:r>
        <w:rPr>
          <w:strike/>
        </w:rPr>
        <w:t xml:space="preserve">,and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 later than the 2032-2033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July 15, 2031, the agency shall submit to the governor, the lieutenant governor, the speaker of the house of representatives, and the chairs of the standing legislative committees with primary jurisdiction over public school accountability a report regarding the measure. </w:t>
      </w:r>
      <w:r>
        <w:rPr>
          <w:u w:val="single"/>
        </w:rPr>
        <w:t xml:space="preserve"> </w:t>
      </w:r>
      <w:r>
        <w:rPr>
          <w:u w:val="single"/>
        </w:rPr>
        <w:t xml:space="preserve">This subsection expires September 1, 2033.</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Subchapter C, Chapter 39, Education Code, is amended by adding Sections 39.0531, 39.0532, and 39.0534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shall maintain a list of industry certifications that are eligible for purposes of Section 39.053(c)(1)(B)(v).  In developing the list, the agency shall consult with the Texas Workforce Commission and the Texas Higher Education Coordinating Board and consider the inventory of industry-recognized certifications developed under Section 312.003, Labor Code, and the credential library established under Section 2308A.007, Government Code.  The certifications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review the eligibility of industry certifications under Subsection (a),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advisory council established under Chapter 312, Labor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Texas Workforce Commission;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Texas Higher Education Coordinating Board;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concurrently with the modification of performance standards under Section 39.053(f-1).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after reviewing an industry certification under Subsection (b), the agency determines the certification is no longer eligible for purposes of Section 39.053(c)(1)(B)(v) and should be removed from the list maintained under Subsection (a), the agency shall post on the agency's Internet website information regarding the removal of the certification not later than two years before the date the agency intends to remove the certification from the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three years following an agency's determination under Subsection (c)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Section 312.003(a), Labor Code, as amended by H.B. 2 and H.B. 120,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39.0531(a), Education Code</w:t>
      </w:r>
      <w:r>
        <w:t xml:space="preserve">.</w:t>
      </w:r>
    </w:p>
    <w:p w:rsidR="003F3435" w:rsidRDefault="0032493E">
      <w:pPr>
        <w:spacing w:line="480" w:lineRule="auto"/>
        <w:ind w:firstLine="720"/>
        <w:jc w:val="both"/>
      </w:pPr>
      <w:r>
        <w:t xml:space="preserve">SECTION</w:t>
      </w:r>
      <w:r xml:space="preserve">
        <w:t> </w:t>
      </w:r>
      <w:r>
        <w:t xml:space="preserve">2.015.</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English I, or English II,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 39.009(a), Education Code, as added by this Act, and Sections 39.053(a), 39.054, and 39.0541,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39.0263, 39.031, 39.035, 39.202, 39.203, and 39.304, Education Code, as amended by this Act, Sections 39.02301 and 39.053(c-5), Education Code, as added by this Act, and the repeal by this Act of Sections 33.0812, 39.025(a-1) and (a-3),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