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80F5C" w14:paraId="6913F68A" w14:textId="77777777" w:rsidTr="00345119">
        <w:tc>
          <w:tcPr>
            <w:tcW w:w="9576" w:type="dxa"/>
            <w:noWrap/>
          </w:tcPr>
          <w:p w14:paraId="6F8F5745" w14:textId="77777777" w:rsidR="008423E4" w:rsidRPr="0022177D" w:rsidRDefault="000B629F" w:rsidP="00A11BAA">
            <w:pPr>
              <w:pStyle w:val="Heading1"/>
            </w:pPr>
            <w:r w:rsidRPr="00631897">
              <w:t>BILL ANALYSIS</w:t>
            </w:r>
          </w:p>
        </w:tc>
      </w:tr>
    </w:tbl>
    <w:p w14:paraId="3DE5EB5E" w14:textId="77777777" w:rsidR="008423E4" w:rsidRPr="00A11BAA" w:rsidRDefault="008423E4" w:rsidP="00A11BAA">
      <w:pPr>
        <w:jc w:val="center"/>
        <w:rPr>
          <w:sz w:val="20"/>
          <w:szCs w:val="20"/>
        </w:rPr>
      </w:pPr>
    </w:p>
    <w:p w14:paraId="388349D1" w14:textId="77777777" w:rsidR="008423E4" w:rsidRPr="00A11BAA" w:rsidRDefault="008423E4" w:rsidP="00A11BAA">
      <w:pPr>
        <w:rPr>
          <w:sz w:val="20"/>
          <w:szCs w:val="20"/>
        </w:rPr>
      </w:pPr>
    </w:p>
    <w:p w14:paraId="1FB3BA82" w14:textId="77777777" w:rsidR="008423E4" w:rsidRPr="00A11BAA" w:rsidRDefault="008423E4" w:rsidP="00A11BAA">
      <w:pPr>
        <w:tabs>
          <w:tab w:val="right" w:pos="9360"/>
        </w:tabs>
        <w:rPr>
          <w:sz w:val="20"/>
          <w:szCs w:val="20"/>
        </w:rPr>
      </w:pPr>
    </w:p>
    <w:tbl>
      <w:tblPr>
        <w:tblW w:w="0" w:type="auto"/>
        <w:tblLayout w:type="fixed"/>
        <w:tblLook w:val="01E0" w:firstRow="1" w:lastRow="1" w:firstColumn="1" w:lastColumn="1" w:noHBand="0" w:noVBand="0"/>
      </w:tblPr>
      <w:tblGrid>
        <w:gridCol w:w="9576"/>
      </w:tblGrid>
      <w:tr w:rsidR="00A80F5C" w14:paraId="1968D08E" w14:textId="77777777" w:rsidTr="00345119">
        <w:tc>
          <w:tcPr>
            <w:tcW w:w="9576" w:type="dxa"/>
          </w:tcPr>
          <w:p w14:paraId="4D06D010" w14:textId="47502B18" w:rsidR="008423E4" w:rsidRPr="00861995" w:rsidRDefault="000B629F" w:rsidP="00A11BAA">
            <w:pPr>
              <w:jc w:val="right"/>
            </w:pPr>
            <w:r>
              <w:t>H.B. 12</w:t>
            </w:r>
          </w:p>
        </w:tc>
      </w:tr>
      <w:tr w:rsidR="00A80F5C" w14:paraId="0653D8B0" w14:textId="77777777" w:rsidTr="00345119">
        <w:tc>
          <w:tcPr>
            <w:tcW w:w="9576" w:type="dxa"/>
          </w:tcPr>
          <w:p w14:paraId="651589C9" w14:textId="44F91C3D" w:rsidR="008423E4" w:rsidRPr="00861995" w:rsidRDefault="000B629F" w:rsidP="00A11BAA">
            <w:pPr>
              <w:jc w:val="right"/>
            </w:pPr>
            <w:r>
              <w:t xml:space="preserve">By: </w:t>
            </w:r>
            <w:r w:rsidR="00F823BF">
              <w:t>Shaheen</w:t>
            </w:r>
          </w:p>
        </w:tc>
      </w:tr>
      <w:tr w:rsidR="00A80F5C" w14:paraId="4A5C1F77" w14:textId="77777777" w:rsidTr="00345119">
        <w:tc>
          <w:tcPr>
            <w:tcW w:w="9576" w:type="dxa"/>
          </w:tcPr>
          <w:p w14:paraId="59AC844B" w14:textId="0E510188" w:rsidR="008423E4" w:rsidRPr="00861995" w:rsidRDefault="000B629F" w:rsidP="00A11BAA">
            <w:pPr>
              <w:jc w:val="right"/>
            </w:pPr>
            <w:r>
              <w:t>State Affairs</w:t>
            </w:r>
          </w:p>
        </w:tc>
      </w:tr>
      <w:tr w:rsidR="00A80F5C" w14:paraId="0A830169" w14:textId="77777777" w:rsidTr="00345119">
        <w:tc>
          <w:tcPr>
            <w:tcW w:w="9576" w:type="dxa"/>
          </w:tcPr>
          <w:p w14:paraId="4B2FF97D" w14:textId="50B39EA3" w:rsidR="008423E4" w:rsidRDefault="000B629F" w:rsidP="00A11BAA">
            <w:pPr>
              <w:jc w:val="right"/>
            </w:pPr>
            <w:r>
              <w:t>Committee Report (Unamended)</w:t>
            </w:r>
          </w:p>
        </w:tc>
      </w:tr>
    </w:tbl>
    <w:p w14:paraId="5ED9DA2E" w14:textId="77777777" w:rsidR="008423E4" w:rsidRPr="00A11BAA" w:rsidRDefault="008423E4" w:rsidP="00A11BAA">
      <w:pPr>
        <w:tabs>
          <w:tab w:val="right" w:pos="9360"/>
        </w:tabs>
        <w:rPr>
          <w:sz w:val="20"/>
          <w:szCs w:val="20"/>
        </w:rPr>
      </w:pPr>
    </w:p>
    <w:p w14:paraId="66940A06" w14:textId="77777777" w:rsidR="008423E4" w:rsidRPr="00A11BAA" w:rsidRDefault="008423E4" w:rsidP="00A11BAA">
      <w:pPr>
        <w:rPr>
          <w:sz w:val="20"/>
          <w:szCs w:val="20"/>
        </w:rPr>
      </w:pPr>
    </w:p>
    <w:p w14:paraId="585176EC" w14:textId="77777777" w:rsidR="008423E4" w:rsidRPr="00A11BAA" w:rsidRDefault="008423E4" w:rsidP="00A11BAA">
      <w:pPr>
        <w:rPr>
          <w:sz w:val="20"/>
          <w:szCs w:val="20"/>
        </w:rPr>
      </w:pPr>
    </w:p>
    <w:tbl>
      <w:tblPr>
        <w:tblW w:w="0" w:type="auto"/>
        <w:tblCellMar>
          <w:left w:w="115" w:type="dxa"/>
          <w:right w:w="115" w:type="dxa"/>
        </w:tblCellMar>
        <w:tblLook w:val="01E0" w:firstRow="1" w:lastRow="1" w:firstColumn="1" w:lastColumn="1" w:noHBand="0" w:noVBand="0"/>
      </w:tblPr>
      <w:tblGrid>
        <w:gridCol w:w="9360"/>
      </w:tblGrid>
      <w:tr w:rsidR="00A80F5C" w14:paraId="30884A88" w14:textId="77777777" w:rsidTr="00345119">
        <w:tc>
          <w:tcPr>
            <w:tcW w:w="9576" w:type="dxa"/>
          </w:tcPr>
          <w:p w14:paraId="484C2768" w14:textId="77777777" w:rsidR="008423E4" w:rsidRPr="00A8133F" w:rsidRDefault="000B629F" w:rsidP="00A11BAA">
            <w:pPr>
              <w:rPr>
                <w:b/>
              </w:rPr>
            </w:pPr>
            <w:r w:rsidRPr="009C1E9A">
              <w:rPr>
                <w:b/>
                <w:u w:val="single"/>
              </w:rPr>
              <w:t>BACKGROUND AND PURPOSE</w:t>
            </w:r>
            <w:r>
              <w:rPr>
                <w:b/>
              </w:rPr>
              <w:t xml:space="preserve"> </w:t>
            </w:r>
          </w:p>
          <w:p w14:paraId="2C909B4C" w14:textId="77777777" w:rsidR="008423E4" w:rsidRDefault="008423E4" w:rsidP="00A11BAA"/>
          <w:p w14:paraId="279228B9" w14:textId="37060CE9" w:rsidR="008423E4" w:rsidRDefault="000B629F" w:rsidP="00A11BAA">
            <w:pPr>
              <w:pStyle w:val="Header"/>
              <w:tabs>
                <w:tab w:val="clear" w:pos="4320"/>
                <w:tab w:val="clear" w:pos="8640"/>
              </w:tabs>
              <w:jc w:val="both"/>
            </w:pPr>
            <w:r w:rsidRPr="00002B90">
              <w:t xml:space="preserve">In </w:t>
            </w:r>
            <w:r w:rsidRPr="00002B90">
              <w:rPr>
                <w:i/>
                <w:iCs/>
              </w:rPr>
              <w:t>State v. Stephens</w:t>
            </w:r>
            <w:r w:rsidRPr="00002B90">
              <w:t xml:space="preserve"> (2021), the Texas Court of Criminal Appeals held that current Election Code provisions authorizing the attorney general to prosecute election law violations were invalid. Several state statutes authorize the attorney general to prosecute specified types of criminal cases with the consent of the local prosecutor. As state senators argued in an amicus brief filed with the court urging it to rehear Stephens, </w:t>
            </w:r>
            <w:r w:rsidR="003218DD">
              <w:t>"</w:t>
            </w:r>
            <w:r w:rsidRPr="00002B90">
              <w:t xml:space="preserve">[a]s an elected official, a [local] district attorney may have challenges prosecuting members of the </w:t>
            </w:r>
            <w:r w:rsidRPr="00002B90">
              <w:t>district in a highly politicized environment.</w:t>
            </w:r>
            <w:r w:rsidR="003218DD">
              <w:t>"</w:t>
            </w:r>
            <w:r w:rsidRPr="00002B90">
              <w:t xml:space="preserve"> State representatives (with others) noted in an amicus brief urging rehearing that the Fifth Court of Appeals recognized in its decision in </w:t>
            </w:r>
            <w:r w:rsidRPr="00002B90">
              <w:rPr>
                <w:i/>
                <w:iCs/>
              </w:rPr>
              <w:t>Medrano v. State</w:t>
            </w:r>
            <w:r w:rsidRPr="00002B90">
              <w:t xml:space="preserve"> (2014), that there may be </w:t>
            </w:r>
            <w:r w:rsidR="003218DD">
              <w:t>"</w:t>
            </w:r>
            <w:r w:rsidRPr="00002B90">
              <w:t>politically sensitive cases in which it is advisable for the Attorney General to step in because local prosecutors might be discouraged from acting.</w:t>
            </w:r>
            <w:r w:rsidR="003218DD">
              <w:t>"</w:t>
            </w:r>
            <w:r w:rsidRPr="00002B90">
              <w:t xml:space="preserve"> Thus, the attorney general's lack of jurisdiction can pose threats to election integrity, especially when local prosecutors decline</w:t>
            </w:r>
            <w:r w:rsidRPr="00002B90">
              <w:t xml:space="preserve"> to prosecute Election Code violations. H.B. 12 seeks to resolve this issue by granting the attorney general the power to prosecute election crimes independently of local prosecutors.</w:t>
            </w:r>
          </w:p>
          <w:p w14:paraId="6DA00FBA" w14:textId="20C05D0F" w:rsidR="006416DB" w:rsidRPr="00E26B13" w:rsidRDefault="006416DB" w:rsidP="00A11BAA">
            <w:pPr>
              <w:pStyle w:val="Header"/>
              <w:tabs>
                <w:tab w:val="clear" w:pos="4320"/>
                <w:tab w:val="clear" w:pos="8640"/>
              </w:tabs>
              <w:jc w:val="both"/>
              <w:rPr>
                <w:b/>
              </w:rPr>
            </w:pPr>
          </w:p>
        </w:tc>
      </w:tr>
      <w:tr w:rsidR="00A80F5C" w14:paraId="5B9E15F8" w14:textId="77777777" w:rsidTr="00345119">
        <w:tc>
          <w:tcPr>
            <w:tcW w:w="9576" w:type="dxa"/>
          </w:tcPr>
          <w:p w14:paraId="77A015E6" w14:textId="77777777" w:rsidR="0017725B" w:rsidRDefault="000B629F" w:rsidP="00A11BAA">
            <w:pPr>
              <w:rPr>
                <w:b/>
                <w:u w:val="single"/>
              </w:rPr>
            </w:pPr>
            <w:r>
              <w:rPr>
                <w:b/>
                <w:u w:val="single"/>
              </w:rPr>
              <w:t>CRIMINAL JUSTICE IMPACT</w:t>
            </w:r>
          </w:p>
          <w:p w14:paraId="2F9129CA" w14:textId="77777777" w:rsidR="00AC0FEB" w:rsidRDefault="00AC0FEB" w:rsidP="00A11BAA">
            <w:pPr>
              <w:rPr>
                <w:b/>
                <w:u w:val="single"/>
              </w:rPr>
            </w:pPr>
          </w:p>
          <w:p w14:paraId="4E2F7D0E" w14:textId="6EFD0917" w:rsidR="0017725B" w:rsidRPr="00B20CAD" w:rsidRDefault="000B629F" w:rsidP="00A11BAA">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EDD51F6" w14:textId="77777777" w:rsidR="0017725B" w:rsidRPr="0017725B" w:rsidRDefault="0017725B" w:rsidP="00A11BAA">
            <w:pPr>
              <w:rPr>
                <w:b/>
                <w:u w:val="single"/>
              </w:rPr>
            </w:pPr>
          </w:p>
        </w:tc>
      </w:tr>
      <w:tr w:rsidR="00A80F5C" w14:paraId="267ABDD9" w14:textId="77777777" w:rsidTr="00345119">
        <w:tc>
          <w:tcPr>
            <w:tcW w:w="9576" w:type="dxa"/>
          </w:tcPr>
          <w:p w14:paraId="5ABDAF7F" w14:textId="77777777" w:rsidR="008423E4" w:rsidRPr="00A8133F" w:rsidRDefault="000B629F" w:rsidP="00A11BAA">
            <w:pPr>
              <w:rPr>
                <w:b/>
              </w:rPr>
            </w:pPr>
            <w:r w:rsidRPr="009C1E9A">
              <w:rPr>
                <w:b/>
                <w:u w:val="single"/>
              </w:rPr>
              <w:t>RULEMAKING AUTHORITY</w:t>
            </w:r>
            <w:r>
              <w:rPr>
                <w:b/>
              </w:rPr>
              <w:t xml:space="preserve"> </w:t>
            </w:r>
          </w:p>
          <w:p w14:paraId="3A028443" w14:textId="77777777" w:rsidR="008423E4" w:rsidRDefault="008423E4" w:rsidP="00A11BAA"/>
          <w:p w14:paraId="0D98D21D" w14:textId="24811F5C" w:rsidR="008423E4" w:rsidRDefault="000B629F" w:rsidP="00A11BAA">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3AC158DC" w14:textId="77777777" w:rsidR="008423E4" w:rsidRPr="00E21FDC" w:rsidRDefault="008423E4" w:rsidP="00A11BAA">
            <w:pPr>
              <w:rPr>
                <w:b/>
              </w:rPr>
            </w:pPr>
          </w:p>
        </w:tc>
      </w:tr>
      <w:tr w:rsidR="00A80F5C" w14:paraId="573A6468" w14:textId="77777777" w:rsidTr="00345119">
        <w:tc>
          <w:tcPr>
            <w:tcW w:w="9576" w:type="dxa"/>
          </w:tcPr>
          <w:p w14:paraId="4DD20413" w14:textId="77777777" w:rsidR="008423E4" w:rsidRPr="00A8133F" w:rsidRDefault="000B629F" w:rsidP="00A11BAA">
            <w:pPr>
              <w:rPr>
                <w:b/>
              </w:rPr>
            </w:pPr>
            <w:r w:rsidRPr="009C1E9A">
              <w:rPr>
                <w:b/>
                <w:u w:val="single"/>
              </w:rPr>
              <w:t>ANALYSIS</w:t>
            </w:r>
            <w:r>
              <w:rPr>
                <w:b/>
              </w:rPr>
              <w:t xml:space="preserve"> </w:t>
            </w:r>
          </w:p>
          <w:p w14:paraId="76BE89D3" w14:textId="77777777" w:rsidR="00AC0FEB" w:rsidRDefault="00AC0FEB" w:rsidP="00A11BAA"/>
          <w:p w14:paraId="6786B42B" w14:textId="0EBEC6DE" w:rsidR="009C36CD" w:rsidRDefault="000B629F" w:rsidP="00A11BAA">
            <w:pPr>
              <w:pStyle w:val="Header"/>
              <w:tabs>
                <w:tab w:val="clear" w:pos="4320"/>
                <w:tab w:val="clear" w:pos="8640"/>
              </w:tabs>
              <w:jc w:val="both"/>
            </w:pPr>
            <w:r>
              <w:t>H.B.</w:t>
            </w:r>
            <w:r w:rsidR="00AC0FEB">
              <w:t xml:space="preserve"> 12 amends the </w:t>
            </w:r>
            <w:r w:rsidR="00AC0FEB" w:rsidRPr="00CA452E">
              <w:t>Government Code</w:t>
            </w:r>
            <w:r w:rsidR="00AC0FEB">
              <w:t xml:space="preserve"> to require a </w:t>
            </w:r>
            <w:r w:rsidR="00AC0FEB" w:rsidRPr="00CA452E">
              <w:t xml:space="preserve">law enforcement agency </w:t>
            </w:r>
            <w:r w:rsidR="00AC0FEB">
              <w:t>to</w:t>
            </w:r>
            <w:r w:rsidR="00AC0FEB" w:rsidRPr="00CA452E">
              <w:t xml:space="preserve"> submit to the attorney general any report stating there is probable cause to believe an identified person has committed a criminal offense</w:t>
            </w:r>
            <w:r w:rsidR="00AC0FEB">
              <w:t xml:space="preserve"> under the Election Code. The bill requires a </w:t>
            </w:r>
            <w:r w:rsidR="00AC0FEB" w:rsidRPr="00CA452E">
              <w:t xml:space="preserve">local prosecuting attorney or law enforcement agency </w:t>
            </w:r>
            <w:r w:rsidR="00AC0FEB">
              <w:t>to</w:t>
            </w:r>
            <w:r w:rsidR="00AC0FEB" w:rsidRPr="00CA452E">
              <w:t xml:space="preserve"> provide any information requested by the attorney general regarding investigations of criminal offenses </w:t>
            </w:r>
            <w:r w:rsidR="00AC0FEB">
              <w:t xml:space="preserve">under the Election Code </w:t>
            </w:r>
            <w:r w:rsidR="00AC0FEB" w:rsidRPr="00CA452E">
              <w:t xml:space="preserve">to assist the attorney general in </w:t>
            </w:r>
            <w:r w:rsidR="00AC0FEB">
              <w:t>prosecuting such offenses. The bill establishes that, notwithstanding any other law, the attorney general has jurisdiction to prosecute and requires the attorney general to represent the state in the prosecution of a criminal offense under the Election Code.</w:t>
            </w:r>
          </w:p>
          <w:p w14:paraId="245A03D0" w14:textId="77777777" w:rsidR="00AC0FEB" w:rsidRDefault="00AC0FEB" w:rsidP="00A11BAA">
            <w:pPr>
              <w:pStyle w:val="Header"/>
              <w:tabs>
                <w:tab w:val="clear" w:pos="4320"/>
                <w:tab w:val="clear" w:pos="8640"/>
              </w:tabs>
              <w:jc w:val="both"/>
            </w:pPr>
          </w:p>
          <w:p w14:paraId="74C5ECEA" w14:textId="47DFF1E3" w:rsidR="00AC0FEB" w:rsidRDefault="000B629F" w:rsidP="00A11BAA">
            <w:pPr>
              <w:pStyle w:val="Header"/>
              <w:jc w:val="both"/>
            </w:pPr>
            <w:r>
              <w:t xml:space="preserve">H.B. 12 amends the Election Code to </w:t>
            </w:r>
            <w:r w:rsidRPr="003E2AA3">
              <w:t>replace the authorization for the attorney general to prosecute a criminal offense prescribed by state election laws with a provision establishing that the attorney general has the jurisdiction to prosecute and is required to represent the state in the prosecution of a criminal offense prescribed by such laws as provided by the bill's provisions.</w:t>
            </w:r>
            <w:r>
              <w:t xml:space="preserve"> </w:t>
            </w:r>
          </w:p>
          <w:p w14:paraId="3E904F08" w14:textId="77777777" w:rsidR="00AC0FEB" w:rsidRDefault="00AC0FEB" w:rsidP="00A11BAA">
            <w:pPr>
              <w:pStyle w:val="Header"/>
              <w:tabs>
                <w:tab w:val="clear" w:pos="4320"/>
                <w:tab w:val="clear" w:pos="8640"/>
              </w:tabs>
              <w:jc w:val="both"/>
            </w:pPr>
          </w:p>
          <w:p w14:paraId="52CB7D99" w14:textId="754F76FD" w:rsidR="00AC0FEB" w:rsidRPr="009C36CD" w:rsidRDefault="000B629F" w:rsidP="00A11BAA">
            <w:pPr>
              <w:pStyle w:val="Header"/>
              <w:tabs>
                <w:tab w:val="clear" w:pos="4320"/>
                <w:tab w:val="clear" w:pos="8640"/>
              </w:tabs>
              <w:jc w:val="both"/>
            </w:pPr>
            <w:r>
              <w:t xml:space="preserve">H.B. 12 applies only to </w:t>
            </w:r>
            <w:r w:rsidRPr="003E2AA3">
              <w:t>an offense committed on or after the bill's effective date. An offense committed before the bill's effective date is governed by the law in effect on the date the offense was committed, and the former law is continued in effect for that purpose. For these purposes, an offense was committed before the bill's effective date if any element of the offense occurred before that date.</w:t>
            </w:r>
          </w:p>
          <w:p w14:paraId="35BAB83A" w14:textId="77777777" w:rsidR="008423E4" w:rsidRPr="00835628" w:rsidRDefault="008423E4" w:rsidP="00A11BAA">
            <w:pPr>
              <w:rPr>
                <w:b/>
              </w:rPr>
            </w:pPr>
          </w:p>
        </w:tc>
      </w:tr>
      <w:tr w:rsidR="00A80F5C" w14:paraId="78AE46BA" w14:textId="77777777" w:rsidTr="00345119">
        <w:tc>
          <w:tcPr>
            <w:tcW w:w="9576" w:type="dxa"/>
          </w:tcPr>
          <w:p w14:paraId="762AD3BA" w14:textId="0385A0A7" w:rsidR="008423E4" w:rsidRPr="00A8133F" w:rsidRDefault="000B629F" w:rsidP="00A11BAA">
            <w:pPr>
              <w:rPr>
                <w:b/>
              </w:rPr>
            </w:pPr>
            <w:r w:rsidRPr="009C1E9A">
              <w:rPr>
                <w:b/>
                <w:u w:val="single"/>
              </w:rPr>
              <w:t>EFFECTIVE DATE</w:t>
            </w:r>
            <w:r w:rsidR="00AC0FEB">
              <w:rPr>
                <w:b/>
              </w:rPr>
              <w:t xml:space="preserve"> </w:t>
            </w:r>
          </w:p>
          <w:p w14:paraId="640980A0" w14:textId="77777777" w:rsidR="008423E4" w:rsidRDefault="008423E4" w:rsidP="00A11BAA"/>
          <w:p w14:paraId="02FE812D" w14:textId="206AADB3" w:rsidR="008423E4" w:rsidRPr="00A11BAA" w:rsidRDefault="000B629F" w:rsidP="00A11BAA">
            <w:pPr>
              <w:pStyle w:val="Header"/>
              <w:tabs>
                <w:tab w:val="clear" w:pos="4320"/>
                <w:tab w:val="clear" w:pos="8640"/>
              </w:tabs>
              <w:jc w:val="both"/>
              <w:rPr>
                <w:b/>
                <w:bCs/>
              </w:rPr>
            </w:pPr>
            <w:r>
              <w:t>91st day after the last day of the legislative session.</w:t>
            </w:r>
          </w:p>
        </w:tc>
      </w:tr>
    </w:tbl>
    <w:p w14:paraId="50DC544B" w14:textId="77777777" w:rsidR="008423E4" w:rsidRPr="00A11BAA" w:rsidRDefault="008423E4" w:rsidP="00A11BAA">
      <w:pPr>
        <w:jc w:val="both"/>
        <w:rPr>
          <w:rFonts w:ascii="Arial" w:hAnsi="Arial"/>
          <w:sz w:val="10"/>
          <w:szCs w:val="10"/>
        </w:rPr>
      </w:pPr>
    </w:p>
    <w:sectPr w:rsidR="008423E4" w:rsidRPr="00A11BAA"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25EF" w14:textId="77777777" w:rsidR="000B629F" w:rsidRDefault="000B629F">
      <w:r>
        <w:separator/>
      </w:r>
    </w:p>
  </w:endnote>
  <w:endnote w:type="continuationSeparator" w:id="0">
    <w:p w14:paraId="17941F9E" w14:textId="77777777" w:rsidR="000B629F" w:rsidRDefault="000B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3633"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80F5C" w14:paraId="428DFCF9" w14:textId="77777777" w:rsidTr="009C1E9A">
      <w:trPr>
        <w:cantSplit/>
      </w:trPr>
      <w:tc>
        <w:tcPr>
          <w:tcW w:w="0" w:type="pct"/>
        </w:tcPr>
        <w:p w14:paraId="5BD26FF5" w14:textId="77777777" w:rsidR="00137D90" w:rsidRDefault="00137D90" w:rsidP="009C1E9A">
          <w:pPr>
            <w:pStyle w:val="Footer"/>
            <w:tabs>
              <w:tab w:val="clear" w:pos="8640"/>
              <w:tab w:val="right" w:pos="9360"/>
            </w:tabs>
          </w:pPr>
        </w:p>
      </w:tc>
      <w:tc>
        <w:tcPr>
          <w:tcW w:w="2395" w:type="pct"/>
        </w:tcPr>
        <w:p w14:paraId="331DE199" w14:textId="77777777" w:rsidR="00137D90" w:rsidRDefault="00137D90" w:rsidP="009C1E9A">
          <w:pPr>
            <w:pStyle w:val="Footer"/>
            <w:tabs>
              <w:tab w:val="clear" w:pos="8640"/>
              <w:tab w:val="right" w:pos="9360"/>
            </w:tabs>
          </w:pPr>
        </w:p>
        <w:p w14:paraId="1C646B06" w14:textId="77777777" w:rsidR="001A4310" w:rsidRDefault="001A4310" w:rsidP="009C1E9A">
          <w:pPr>
            <w:pStyle w:val="Footer"/>
            <w:tabs>
              <w:tab w:val="clear" w:pos="8640"/>
              <w:tab w:val="right" w:pos="9360"/>
            </w:tabs>
          </w:pPr>
        </w:p>
        <w:p w14:paraId="536A80BF" w14:textId="77777777" w:rsidR="00137D90" w:rsidRDefault="00137D90" w:rsidP="009C1E9A">
          <w:pPr>
            <w:pStyle w:val="Footer"/>
            <w:tabs>
              <w:tab w:val="clear" w:pos="8640"/>
              <w:tab w:val="right" w:pos="9360"/>
            </w:tabs>
          </w:pPr>
        </w:p>
      </w:tc>
      <w:tc>
        <w:tcPr>
          <w:tcW w:w="2453" w:type="pct"/>
        </w:tcPr>
        <w:p w14:paraId="37DA08BD" w14:textId="77777777" w:rsidR="00137D90" w:rsidRDefault="00137D90" w:rsidP="009C1E9A">
          <w:pPr>
            <w:pStyle w:val="Footer"/>
            <w:tabs>
              <w:tab w:val="clear" w:pos="8640"/>
              <w:tab w:val="right" w:pos="9360"/>
            </w:tabs>
            <w:jc w:val="right"/>
          </w:pPr>
        </w:p>
      </w:tc>
    </w:tr>
    <w:tr w:rsidR="00A80F5C" w14:paraId="4F4A6155" w14:textId="77777777" w:rsidTr="009C1E9A">
      <w:trPr>
        <w:cantSplit/>
      </w:trPr>
      <w:tc>
        <w:tcPr>
          <w:tcW w:w="0" w:type="pct"/>
        </w:tcPr>
        <w:p w14:paraId="5C2EACC7" w14:textId="77777777" w:rsidR="00EC379B" w:rsidRDefault="00EC379B" w:rsidP="009C1E9A">
          <w:pPr>
            <w:pStyle w:val="Footer"/>
            <w:tabs>
              <w:tab w:val="clear" w:pos="8640"/>
              <w:tab w:val="right" w:pos="9360"/>
            </w:tabs>
          </w:pPr>
        </w:p>
      </w:tc>
      <w:tc>
        <w:tcPr>
          <w:tcW w:w="2395" w:type="pct"/>
        </w:tcPr>
        <w:p w14:paraId="05A743B6" w14:textId="40D7E49E" w:rsidR="00EC379B" w:rsidRPr="009C1E9A" w:rsidRDefault="000B629F" w:rsidP="009C1E9A">
          <w:pPr>
            <w:pStyle w:val="Footer"/>
            <w:tabs>
              <w:tab w:val="clear" w:pos="8640"/>
              <w:tab w:val="right" w:pos="9360"/>
            </w:tabs>
            <w:rPr>
              <w:rFonts w:ascii="Shruti" w:hAnsi="Shruti"/>
              <w:sz w:val="22"/>
            </w:rPr>
          </w:pPr>
          <w:r>
            <w:rPr>
              <w:rFonts w:ascii="Shruti" w:hAnsi="Shruti"/>
              <w:sz w:val="22"/>
            </w:rPr>
            <w:t>89S2 0828-D</w:t>
          </w:r>
        </w:p>
      </w:tc>
      <w:tc>
        <w:tcPr>
          <w:tcW w:w="2453" w:type="pct"/>
        </w:tcPr>
        <w:p w14:paraId="7CDD426E" w14:textId="7E2A12B1" w:rsidR="00EC379B" w:rsidRDefault="000B629F" w:rsidP="009C1E9A">
          <w:pPr>
            <w:pStyle w:val="Footer"/>
            <w:tabs>
              <w:tab w:val="clear" w:pos="8640"/>
              <w:tab w:val="right" w:pos="9360"/>
            </w:tabs>
            <w:jc w:val="right"/>
          </w:pPr>
          <w:r>
            <w:fldChar w:fldCharType="begin"/>
          </w:r>
          <w:r>
            <w:instrText xml:space="preserve"> DOCPROPERTY  OTID  \* MERGEFORMAT </w:instrText>
          </w:r>
          <w:r>
            <w:fldChar w:fldCharType="separate"/>
          </w:r>
          <w:r w:rsidR="00F37848">
            <w:t>25.235.86</w:t>
          </w:r>
          <w:r>
            <w:fldChar w:fldCharType="end"/>
          </w:r>
        </w:p>
      </w:tc>
    </w:tr>
    <w:tr w:rsidR="00A80F5C" w14:paraId="56326144" w14:textId="77777777" w:rsidTr="009C1E9A">
      <w:trPr>
        <w:cantSplit/>
      </w:trPr>
      <w:tc>
        <w:tcPr>
          <w:tcW w:w="0" w:type="pct"/>
        </w:tcPr>
        <w:p w14:paraId="7384DEF4" w14:textId="77777777" w:rsidR="00EC379B" w:rsidRDefault="00EC379B" w:rsidP="009C1E9A">
          <w:pPr>
            <w:pStyle w:val="Footer"/>
            <w:tabs>
              <w:tab w:val="clear" w:pos="4320"/>
              <w:tab w:val="clear" w:pos="8640"/>
              <w:tab w:val="left" w:pos="2865"/>
            </w:tabs>
          </w:pPr>
        </w:p>
      </w:tc>
      <w:tc>
        <w:tcPr>
          <w:tcW w:w="2395" w:type="pct"/>
        </w:tcPr>
        <w:p w14:paraId="4B6A381E"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44F7ABF1" w14:textId="77777777" w:rsidR="00EC379B" w:rsidRDefault="00EC379B" w:rsidP="006D504F">
          <w:pPr>
            <w:pStyle w:val="Footer"/>
            <w:rPr>
              <w:rStyle w:val="PageNumber"/>
            </w:rPr>
          </w:pPr>
        </w:p>
        <w:p w14:paraId="6C8C1C9B" w14:textId="77777777" w:rsidR="00EC379B" w:rsidRDefault="00EC379B" w:rsidP="009C1E9A">
          <w:pPr>
            <w:pStyle w:val="Footer"/>
            <w:tabs>
              <w:tab w:val="clear" w:pos="8640"/>
              <w:tab w:val="right" w:pos="9360"/>
            </w:tabs>
            <w:jc w:val="right"/>
          </w:pPr>
        </w:p>
      </w:tc>
    </w:tr>
    <w:tr w:rsidR="00A80F5C" w14:paraId="0EA10FDC" w14:textId="77777777" w:rsidTr="009C1E9A">
      <w:trPr>
        <w:cantSplit/>
        <w:trHeight w:val="323"/>
      </w:trPr>
      <w:tc>
        <w:tcPr>
          <w:tcW w:w="0" w:type="pct"/>
          <w:gridSpan w:val="3"/>
        </w:tcPr>
        <w:p w14:paraId="65CA4A63" w14:textId="77777777" w:rsidR="00EC379B" w:rsidRDefault="000B629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C94AC42" w14:textId="77777777" w:rsidR="00EC379B" w:rsidRDefault="00EC379B" w:rsidP="009C1E9A">
          <w:pPr>
            <w:pStyle w:val="Footer"/>
            <w:tabs>
              <w:tab w:val="clear" w:pos="8640"/>
              <w:tab w:val="right" w:pos="9360"/>
            </w:tabs>
            <w:jc w:val="center"/>
          </w:pPr>
        </w:p>
      </w:tc>
    </w:tr>
  </w:tbl>
  <w:p w14:paraId="53EA210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9BE3"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48BD" w14:textId="77777777" w:rsidR="000B629F" w:rsidRDefault="000B629F">
      <w:r>
        <w:separator/>
      </w:r>
    </w:p>
  </w:footnote>
  <w:footnote w:type="continuationSeparator" w:id="0">
    <w:p w14:paraId="311B0FF4" w14:textId="77777777" w:rsidR="000B629F" w:rsidRDefault="000B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B75"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5D2F"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3322"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EB"/>
    <w:rsid w:val="00000A70"/>
    <w:rsid w:val="000022DC"/>
    <w:rsid w:val="00002B90"/>
    <w:rsid w:val="000032B8"/>
    <w:rsid w:val="00003B06"/>
    <w:rsid w:val="000054B9"/>
    <w:rsid w:val="00007461"/>
    <w:rsid w:val="0001117E"/>
    <w:rsid w:val="0001125F"/>
    <w:rsid w:val="0001338E"/>
    <w:rsid w:val="00013D24"/>
    <w:rsid w:val="00014AF0"/>
    <w:rsid w:val="000155D6"/>
    <w:rsid w:val="00015D4E"/>
    <w:rsid w:val="00020A44"/>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29F"/>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53D1"/>
    <w:rsid w:val="00127087"/>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4C9A"/>
    <w:rsid w:val="001664C2"/>
    <w:rsid w:val="00171BF2"/>
    <w:rsid w:val="0017347B"/>
    <w:rsid w:val="00175A55"/>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040"/>
    <w:rsid w:val="001E2CAD"/>
    <w:rsid w:val="001E34DB"/>
    <w:rsid w:val="001E37CD"/>
    <w:rsid w:val="001E4070"/>
    <w:rsid w:val="001E655E"/>
    <w:rsid w:val="001F3CB8"/>
    <w:rsid w:val="001F6B91"/>
    <w:rsid w:val="001F703C"/>
    <w:rsid w:val="00200B9E"/>
    <w:rsid w:val="00200BF5"/>
    <w:rsid w:val="002010D1"/>
    <w:rsid w:val="00201338"/>
    <w:rsid w:val="0020775D"/>
    <w:rsid w:val="00207E58"/>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57C47"/>
    <w:rsid w:val="00260FA4"/>
    <w:rsid w:val="00261183"/>
    <w:rsid w:val="00262A66"/>
    <w:rsid w:val="00263140"/>
    <w:rsid w:val="002631C8"/>
    <w:rsid w:val="00263BFA"/>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87AAD"/>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D6EA5"/>
    <w:rsid w:val="002E1DEB"/>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8DD"/>
    <w:rsid w:val="00321F2F"/>
    <w:rsid w:val="003237F6"/>
    <w:rsid w:val="00324077"/>
    <w:rsid w:val="0032453B"/>
    <w:rsid w:val="00324868"/>
    <w:rsid w:val="003305F5"/>
    <w:rsid w:val="00333930"/>
    <w:rsid w:val="00336BA4"/>
    <w:rsid w:val="00336C7A"/>
    <w:rsid w:val="00337392"/>
    <w:rsid w:val="00337659"/>
    <w:rsid w:val="003417DA"/>
    <w:rsid w:val="003427C9"/>
    <w:rsid w:val="00343A92"/>
    <w:rsid w:val="00344530"/>
    <w:rsid w:val="003446DC"/>
    <w:rsid w:val="00345BC8"/>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2AA3"/>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1AA1"/>
    <w:rsid w:val="004B412A"/>
    <w:rsid w:val="004B576C"/>
    <w:rsid w:val="004B772A"/>
    <w:rsid w:val="004C302F"/>
    <w:rsid w:val="004C364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195A"/>
    <w:rsid w:val="00523882"/>
    <w:rsid w:val="00524B43"/>
    <w:rsid w:val="005269CE"/>
    <w:rsid w:val="005304B2"/>
    <w:rsid w:val="005336BD"/>
    <w:rsid w:val="00534A49"/>
    <w:rsid w:val="005363BB"/>
    <w:rsid w:val="00541B98"/>
    <w:rsid w:val="00543374"/>
    <w:rsid w:val="00545548"/>
    <w:rsid w:val="00546923"/>
    <w:rsid w:val="00550D94"/>
    <w:rsid w:val="005516F4"/>
    <w:rsid w:val="00551CA6"/>
    <w:rsid w:val="00551F66"/>
    <w:rsid w:val="00552FDF"/>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96D4D"/>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333"/>
    <w:rsid w:val="0061159E"/>
    <w:rsid w:val="00611616"/>
    <w:rsid w:val="00614633"/>
    <w:rsid w:val="00614BC8"/>
    <w:rsid w:val="006151FB"/>
    <w:rsid w:val="00617411"/>
    <w:rsid w:val="006249CB"/>
    <w:rsid w:val="006272DD"/>
    <w:rsid w:val="00630963"/>
    <w:rsid w:val="00631897"/>
    <w:rsid w:val="00632928"/>
    <w:rsid w:val="006330DA"/>
    <w:rsid w:val="00633262"/>
    <w:rsid w:val="00633460"/>
    <w:rsid w:val="00636405"/>
    <w:rsid w:val="006402E7"/>
    <w:rsid w:val="00640CB6"/>
    <w:rsid w:val="006416DB"/>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4C3A"/>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1C3B"/>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62B9"/>
    <w:rsid w:val="008170E2"/>
    <w:rsid w:val="00822333"/>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1A7"/>
    <w:rsid w:val="008D7427"/>
    <w:rsid w:val="008E3338"/>
    <w:rsid w:val="008E47BE"/>
    <w:rsid w:val="008E49D9"/>
    <w:rsid w:val="008F09DF"/>
    <w:rsid w:val="008F3053"/>
    <w:rsid w:val="008F3136"/>
    <w:rsid w:val="008F40DF"/>
    <w:rsid w:val="008F5E16"/>
    <w:rsid w:val="008F5EFC"/>
    <w:rsid w:val="00901670"/>
    <w:rsid w:val="00902212"/>
    <w:rsid w:val="00903E0A"/>
    <w:rsid w:val="00903E64"/>
    <w:rsid w:val="00904721"/>
    <w:rsid w:val="00904CDF"/>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4"/>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1B7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1BAA"/>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0F5C"/>
    <w:rsid w:val="00A8133F"/>
    <w:rsid w:val="00A82CB4"/>
    <w:rsid w:val="00A837A8"/>
    <w:rsid w:val="00A83C36"/>
    <w:rsid w:val="00A86C32"/>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0FEB"/>
    <w:rsid w:val="00AC2E9A"/>
    <w:rsid w:val="00AC5AAB"/>
    <w:rsid w:val="00AC5AEC"/>
    <w:rsid w:val="00AC5F28"/>
    <w:rsid w:val="00AC6900"/>
    <w:rsid w:val="00AD304B"/>
    <w:rsid w:val="00AD4497"/>
    <w:rsid w:val="00AD615E"/>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66B85"/>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06700"/>
    <w:rsid w:val="00C119AC"/>
    <w:rsid w:val="00C14EE6"/>
    <w:rsid w:val="00C151DA"/>
    <w:rsid w:val="00C152A1"/>
    <w:rsid w:val="00C16CCB"/>
    <w:rsid w:val="00C2142B"/>
    <w:rsid w:val="00C22987"/>
    <w:rsid w:val="00C23956"/>
    <w:rsid w:val="00C239C4"/>
    <w:rsid w:val="00C248E6"/>
    <w:rsid w:val="00C2766F"/>
    <w:rsid w:val="00C3223B"/>
    <w:rsid w:val="00C333C6"/>
    <w:rsid w:val="00C35CC5"/>
    <w:rsid w:val="00C361C5"/>
    <w:rsid w:val="00C377D1"/>
    <w:rsid w:val="00C37BDA"/>
    <w:rsid w:val="00C37C84"/>
    <w:rsid w:val="00C42B41"/>
    <w:rsid w:val="00C46166"/>
    <w:rsid w:val="00C4669C"/>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081"/>
    <w:rsid w:val="00C834CE"/>
    <w:rsid w:val="00C9047F"/>
    <w:rsid w:val="00C91F65"/>
    <w:rsid w:val="00C92310"/>
    <w:rsid w:val="00C928F2"/>
    <w:rsid w:val="00C95150"/>
    <w:rsid w:val="00C95A73"/>
    <w:rsid w:val="00CA02B0"/>
    <w:rsid w:val="00CA032E"/>
    <w:rsid w:val="00CA2182"/>
    <w:rsid w:val="00CA2186"/>
    <w:rsid w:val="00CA26EF"/>
    <w:rsid w:val="00CA3608"/>
    <w:rsid w:val="00CA452E"/>
    <w:rsid w:val="00CA4CA0"/>
    <w:rsid w:val="00CA5E5E"/>
    <w:rsid w:val="00CA7798"/>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582"/>
    <w:rsid w:val="00CE3795"/>
    <w:rsid w:val="00CE3E20"/>
    <w:rsid w:val="00CF4827"/>
    <w:rsid w:val="00CF4C69"/>
    <w:rsid w:val="00CF581C"/>
    <w:rsid w:val="00CF71E0"/>
    <w:rsid w:val="00D001B1"/>
    <w:rsid w:val="00D00A05"/>
    <w:rsid w:val="00D03176"/>
    <w:rsid w:val="00D060A8"/>
    <w:rsid w:val="00D06605"/>
    <w:rsid w:val="00D0720F"/>
    <w:rsid w:val="00D074E2"/>
    <w:rsid w:val="00D11B0B"/>
    <w:rsid w:val="00D12A3E"/>
    <w:rsid w:val="00D13DB7"/>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3CAF"/>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600"/>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291"/>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A7CA0"/>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848"/>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3BF"/>
    <w:rsid w:val="00F82811"/>
    <w:rsid w:val="00F83F8D"/>
    <w:rsid w:val="00F84153"/>
    <w:rsid w:val="00F85661"/>
    <w:rsid w:val="00F96602"/>
    <w:rsid w:val="00F9735A"/>
    <w:rsid w:val="00FA32FC"/>
    <w:rsid w:val="00FA59FD"/>
    <w:rsid w:val="00FA5D8C"/>
    <w:rsid w:val="00FA6403"/>
    <w:rsid w:val="00FB16CD"/>
    <w:rsid w:val="00FB73AE"/>
    <w:rsid w:val="00FC10E8"/>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CBDCCC-311B-4911-8F62-BA56517E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C0FEB"/>
    <w:rPr>
      <w:sz w:val="16"/>
      <w:szCs w:val="16"/>
    </w:rPr>
  </w:style>
  <w:style w:type="paragraph" w:styleId="CommentText">
    <w:name w:val="annotation text"/>
    <w:basedOn w:val="Normal"/>
    <w:link w:val="CommentTextChar"/>
    <w:unhideWhenUsed/>
    <w:rsid w:val="00AC0FEB"/>
    <w:rPr>
      <w:sz w:val="20"/>
      <w:szCs w:val="20"/>
    </w:rPr>
  </w:style>
  <w:style w:type="character" w:customStyle="1" w:styleId="CommentTextChar">
    <w:name w:val="Comment Text Char"/>
    <w:basedOn w:val="DefaultParagraphFont"/>
    <w:link w:val="CommentText"/>
    <w:rsid w:val="00AC0FEB"/>
  </w:style>
  <w:style w:type="paragraph" w:styleId="CommentSubject">
    <w:name w:val="annotation subject"/>
    <w:basedOn w:val="CommentText"/>
    <w:next w:val="CommentText"/>
    <w:link w:val="CommentSubjectChar"/>
    <w:semiHidden/>
    <w:unhideWhenUsed/>
    <w:rsid w:val="00AC0FEB"/>
    <w:rPr>
      <w:b/>
      <w:bCs/>
    </w:rPr>
  </w:style>
  <w:style w:type="character" w:customStyle="1" w:styleId="CommentSubjectChar">
    <w:name w:val="Comment Subject Char"/>
    <w:basedOn w:val="CommentTextChar"/>
    <w:link w:val="CommentSubject"/>
    <w:semiHidden/>
    <w:rsid w:val="00AC0FEB"/>
    <w:rPr>
      <w:b/>
      <w:bCs/>
    </w:rPr>
  </w:style>
  <w:style w:type="paragraph" w:styleId="Revision">
    <w:name w:val="Revision"/>
    <w:hidden/>
    <w:uiPriority w:val="99"/>
    <w:semiHidden/>
    <w:rsid w:val="00C466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2887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BA - HB00012 (Committee Report (Unamended))</vt:lpstr>
    </vt:vector>
  </TitlesOfParts>
  <Company>State of Texas</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0828</dc:subject>
  <dc:creator>State of Texas</dc:creator>
  <dc:description>HB 12 by Shaheen-(H)State Affairs</dc:description>
  <cp:lastModifiedBy>Damian Duarte</cp:lastModifiedBy>
  <cp:revision>2</cp:revision>
  <cp:lastPrinted>2003-11-26T17:21:00Z</cp:lastPrinted>
  <dcterms:created xsi:type="dcterms:W3CDTF">2025-08-24T00:36:00Z</dcterms:created>
  <dcterms:modified xsi:type="dcterms:W3CDTF">2025-08-24T00:36:00Z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25.235.86</vt:lpwstr>
  </property>
</Properties>
</file>