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Bell of Kaufman, Metcalf,</w:t>
      </w:r>
      <w:r xml:space="preserve">
        <w:tab wTab="150" tlc="none" cTlc="0"/>
      </w:r>
      <w:r>
        <w:t xml:space="preserve">H.B.</w:t>
      </w:r>
      <w:r xml:space="preserve">
        <w:t> </w:t>
      </w:r>
      <w:r>
        <w:t xml:space="preserve">No.</w:t>
      </w:r>
      <w:r xml:space="preserve">
        <w:t> </w:t>
      </w:r>
      <w:r>
        <w:t xml:space="preserve">8</w:t>
      </w:r>
    </w:p>
    <w:p w:rsidR="003F3435" w:rsidRDefault="0032493E">
      <w:pPr>
        <w:jc w:val="both"/>
      </w:pPr>
      <w:r xml:space="preserve">
        <w:t> </w:t>
      </w:r>
      <w:r xml:space="preserve">
        <w:t> </w:t>
      </w:r>
      <w:r xml:space="preserve">
        <w:t> </w:t>
      </w:r>
      <w:r xml:space="preserve">
        <w:t> </w:t>
      </w:r>
      <w:r xml:space="preserve">
        <w:t> </w:t>
      </w:r>
      <w:r>
        <w:t xml:space="preserve">Landgraf, 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instructionally supportive assessment program may be referred to as the Student Success Tool.</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plan for and status of the implementation of the instructionally supportive assessment program described by Section 39.022. </w:t>
      </w:r>
      <w:r>
        <w:rPr>
          <w:u w:val="single"/>
        </w:rPr>
        <w:t xml:space="preserve"> </w:t>
      </w:r>
      <w:r>
        <w:rPr>
          <w:u w:val="single"/>
        </w:rPr>
        <w:t xml:space="preserve">The report must include parent, student, and teacher feedback regarding the development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(b), (c), (h), (i), and (l) and adding Subsections (q), (q-1), and (q-2)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(b)</w:t>
      </w:r>
      <w:r xml:space="preserve">
        <w:t> </w:t>
      </w:r>
      <w:r xml:space="preserve">
        <w:t> </w:t>
      </w:r>
      <w:r>
        <w:t xml:space="preserve">The agency shall develop or adopt appropriate criterion-referenced alternative assessment instruments to be administered to each student in a special education program under Subchapter A, Chapter 29, </w:t>
      </w:r>
      <w:r>
        <w:rPr>
          <w:u w:val="single"/>
        </w:rPr>
        <w:t xml:space="preserve">who has been identified as having a significant cognitive disability and</w:t>
      </w:r>
      <w:r>
        <w:t xml:space="preserve"> for whom an </w:t>
      </w:r>
      <w:r>
        <w:rPr>
          <w:u w:val="single"/>
        </w:rPr>
        <w:t xml:space="preserve">end-of-year</w:t>
      </w:r>
      <w:r>
        <w:t xml:space="preserve"> assessment instrument adopted </w:t>
      </w:r>
      <w:r>
        <w:rPr>
          <w:u w:val="single"/>
        </w:rPr>
        <w:t xml:space="preserve">or developed</w:t>
      </w:r>
      <w:r>
        <w:t xml:space="preserve"> under Subsection (a) </w:t>
      </w:r>
      <w:r>
        <w:rPr>
          <w:u w:val="single"/>
        </w:rPr>
        <w:t xml:space="preserve">or an end-of-course assessment instrument adopted or developed under Subsection (c)</w:t>
      </w:r>
      <w:r>
        <w:t xml:space="preserve">, even with allowable accommodations, would not provide an appropriate measure of student achievement, as determined by </w:t>
      </w:r>
      <w:r>
        <w:rPr>
          <w:u w:val="single"/>
        </w:rPr>
        <w:t xml:space="preserve">agency guidelines and</w:t>
      </w:r>
      <w:r>
        <w:t xml:space="preserve"> the student's admission, review, and dismissal committee[</w:t>
      </w:r>
      <w:r>
        <w:rPr>
          <w:strike/>
        </w:rPr>
        <w:t xml:space="preserve">,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w:t>
      </w:r>
      <w:r>
        <w:t xml:space="preserve">].</w:t>
      </w:r>
      <w:r xml:space="preserve">
        <w:t> </w:t>
      </w:r>
      <w:r xml:space="preserve">
        <w:t> </w:t>
      </w:r>
      <w:r>
        <w:t xml:space="preserve">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  </w:t>
      </w:r>
      <w:r>
        <w:rPr>
          <w:u w:val="single"/>
        </w:rPr>
        <w:t xml:space="preserve">A student determined to be eligible to be administered an alternative assessment instrument under this subsection is exempt from the administration of a beginning-of-year or middle-of-year assessment instrument adopted or developed under Subsection (a) or (c).</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w:t>
      </w:r>
      <w:r>
        <w:rPr>
          <w:u w:val="single"/>
        </w:rPr>
        <w:t xml:space="preserve">and</w:t>
      </w:r>
      <w:r>
        <w:t xml:space="preserve"> </w:t>
      </w:r>
      <w:r>
        <w:t xml:space="preserve">English I </w:t>
      </w:r>
      <w:r>
        <w:rPr>
          <w:u w:val="single"/>
        </w:rPr>
        <w:t xml:space="preserve">and provide for the availability of optional beginning-of-year and middle-of-year assessment instruments for those courses</w:t>
      </w:r>
      <w:r>
        <w:t xml:space="preserve"> </w:t>
      </w:r>
      <w:r>
        <w:t xml:space="preserve">[</w:t>
      </w:r>
      <w:r>
        <w:rPr>
          <w:strike/>
        </w:rPr>
        <w:t xml:space="preserve">, English II, and United States history</w:t>
      </w:r>
      <w:r>
        <w:t xml:space="preserve">].  The Algebra I end-of-course assessment instrument must be administered with the aid of technology, but may include one or more parts that prohibit the use of technology.  The English I [</w:t>
      </w:r>
      <w:r>
        <w:rPr>
          <w:strike/>
        </w:rPr>
        <w:t xml:space="preserve">and English II</w:t>
      </w:r>
      <w:r>
        <w:t xml:space="preserve">] end-of-course assessment </w:t>
      </w:r>
      <w:r>
        <w:rPr>
          <w:u w:val="single"/>
        </w:rPr>
        <w:t xml:space="preserve">instrument</w:t>
      </w:r>
      <w:r>
        <w:t xml:space="preserve"> </w:t>
      </w:r>
      <w:r>
        <w:t xml:space="preserve">[</w:t>
      </w:r>
      <w:r>
        <w:rPr>
          <w:strike/>
        </w:rPr>
        <w:t xml:space="preserve">instruments</w:t>
      </w:r>
      <w:r>
        <w:t xml:space="preserve">] must [</w:t>
      </w:r>
      <w:r>
        <w:rPr>
          <w:strike/>
        </w:rPr>
        <w:t xml:space="preserve">each</w:t>
      </w:r>
      <w:r>
        <w:t xml:space="preserve">]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rPr>
          <w:u w:val="single"/>
        </w:rPr>
        <w:t xml:space="preserve">(q-1)</w:t>
      </w:r>
      <w:r>
        <w:rPr>
          <w:u w:val="single"/>
        </w:rPr>
        <w:t xml:space="preserve"> </w:t>
      </w:r>
      <w:r>
        <w:rPr>
          <w:u w:val="single"/>
        </w:rPr>
        <w:t xml:space="preserve"> </w:t>
      </w:r>
      <w:r>
        <w:rPr>
          <w:u w:val="single"/>
        </w:rPr>
        <w:t xml:space="preserve">The agency may approve for inclusion on the list under Subsection (q) any assessment instrument that has shared data sufficient to establish an accurate calculation to measure student through-year instructional growth and improvement for purposes of Section 39.053(c-5).</w:t>
      </w:r>
    </w:p>
    <w:p w:rsidR="003F3435" w:rsidRDefault="0032493E">
      <w:pPr>
        <w:spacing w:line="480" w:lineRule="auto"/>
        <w:ind w:firstLine="720"/>
        <w:jc w:val="both"/>
      </w:pPr>
      <w:r>
        <w:rPr>
          <w:u w:val="single"/>
        </w:rPr>
        <w:t xml:space="preserve">(q-2)</w:t>
      </w:r>
      <w:r>
        <w:rPr>
          <w:u w:val="single"/>
        </w:rPr>
        <w:t xml:space="preserve"> </w:t>
      </w:r>
      <w:r>
        <w:rPr>
          <w:u w:val="single"/>
        </w:rPr>
        <w:t xml:space="preserve"> </w:t>
      </w:r>
      <w:r>
        <w:rPr>
          <w:u w:val="single"/>
        </w:rPr>
        <w:t xml:space="preserve">For the 2027-2028 or 2028-2029 school year, the agency may provide provisional approval for use as an alternative beginning-of-year or middle-of-year assessment instrument under Subsection (q) an alternative norm-referenced assessment instrument that does not meet the requirements of this subchapter if the administrator of the assessment instrument provides to the agency an acceptable plan for bringing the assessment instrument into compliance with the requirements of this subchapter.  This subsection expires September 1, 2029.</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In selecting teachers to invite, the agency shall accept and prioritize nominations of qualifying teachers by regional education service centers. </w:t>
      </w:r>
      <w:r>
        <w:rPr>
          <w:u w:val="single"/>
        </w:rPr>
        <w:t xml:space="preserve"> </w:t>
      </w:r>
      <w:r>
        <w:rPr>
          <w:u w:val="single"/>
        </w:rPr>
        <w:t xml:space="preserve">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 under Subsection (d-1).</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agency shall automatically rescore the writing portion of a reading language arts assessment instrument administered to a student under Section 39.023 if the agency determines the student's score on the writing portion improved by one point.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that includes at least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Subject to Subsection (d-1), 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For assessment instruments administered under Section 39.023 that do not require adjudication or post-equating, the agency shall notify school districts and campuses of an enrolled student's raw scores on the assessment instrument not later than two business days after the date on which the student completes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39.025(a-2), Education Code, as amended by S.B. 1418, Acts of the 89th Legislature, Regular Session, 2025, is amended to read as follows:</w:t>
      </w:r>
    </w:p>
    <w:p w:rsidR="003F3435" w:rsidRDefault="0032493E">
      <w:pPr>
        <w:spacing w:line="480" w:lineRule="auto"/>
        <w:ind w:firstLine="720"/>
        <w:jc w:val="both"/>
      </w:pPr>
      <w:r>
        <w:t xml:space="preserve">(a-2)</w:t>
      </w:r>
      <w:r xml:space="preserve">
        <w:t> </w:t>
      </w:r>
      <w:r xml:space="preserve">
        <w:t> </w:t>
      </w:r>
      <w:r>
        <w:t xml:space="preserve">The commissioner shall determine a method by which a student's satisfactory performance on an advanced placement test, an international baccalaureate examination, the SAT, the ACT, </w:t>
      </w:r>
      <w:r>
        <w:rPr>
          <w:u w:val="single"/>
        </w:rPr>
        <w:t xml:space="preserve">an assessment instrument designated by the Texas Higher Education Coordinating Board under Section 51.334,</w:t>
      </w:r>
      <w:r>
        <w:t xml:space="preserve"> or any nationally recognized norm-referenced assessment instrument used by institutions of higher education to award course credit based on satisfactory performance on the assessment instrument shall be used to satisfy the requirements concerning an end-of-course assessment instrument in an equivalent course as prescribed by Subsection (a).  </w:t>
      </w:r>
      <w:r>
        <w:rPr>
          <w:u w:val="single"/>
        </w:rPr>
        <w:t xml:space="preserve">A student may take a test or other assessment instrument authorized under this subsection in lieu of the appropriate end-of-course assessment instrument.</w:t>
      </w:r>
      <w:r>
        <w:t xml:space="preserve">  The commissioner shall determine a method by which a student's satisfactory performance on the PSAT or the PreACT shall be used to satisfy the requirements concerning an end-of-course assessment instrument in an equivalent course as prescribed by Subsection (a).  A student who fails to perform satisfactorily on a test or other assessment instrument authorized under this subsection, other than the PSAT or the PreACT, may retake that test or other assessment instrument for purposes of this subsection or may take the appropriate end-of-course assessment instrument.  A student who fails to perform satisfactorily on the PSAT or the PreACT must take the appropriate end-of-course assessment instrument.  The commissioner shall adopt rules as necessary for the administration of this subsection.</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Sections 39.0263(a)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 or this chapter</w:t>
      </w:r>
      <w:r>
        <w:t xml:space="preserve">.</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(b-1), (c-1), (c-3), (c-6), (c-7), (c-8), (c-10), (d), (e), (e-1), (f), (g), (n), (o), and (p);</w:t>
      </w:r>
    </w:p>
    <w:p w:rsidR="003F3435" w:rsidRDefault="0032493E">
      <w:pPr>
        <w:spacing w:line="480" w:lineRule="auto"/>
        <w:ind w:firstLine="1440"/>
        <w:jc w:val="both"/>
      </w:pPr>
      <w:r>
        <w:t xml:space="preserve">(2)</w:t>
      </w:r>
      <w:r xml:space="preserve">
        <w:t> </w:t>
      </w:r>
      <w:r xml:space="preserve">
        <w:t> </w:t>
      </w:r>
      <w:r>
        <w:t xml:space="preserve">Sections 39.025(a-1) and (a-3);</w:t>
      </w:r>
    </w:p>
    <w:p w:rsidR="003F3435" w:rsidRDefault="0032493E">
      <w:pPr>
        <w:spacing w:line="480" w:lineRule="auto"/>
        <w:ind w:firstLine="1440"/>
        <w:jc w:val="both"/>
      </w:pPr>
      <w:r>
        <w:t xml:space="preserve">(3)</w:t>
      </w:r>
      <w:r xml:space="preserve">
        <w:t> </w:t>
      </w:r>
      <w:r xml:space="preserve">
        <w:t> </w:t>
      </w:r>
      <w:r>
        <w:t xml:space="preserve">Section 39.026;</w:t>
      </w:r>
    </w:p>
    <w:p w:rsidR="003F3435" w:rsidRDefault="0032493E">
      <w:pPr>
        <w:spacing w:line="480" w:lineRule="auto"/>
        <w:ind w:firstLine="1440"/>
        <w:jc w:val="both"/>
      </w:pPr>
      <w:r>
        <w:t xml:space="preserve">(4)</w:t>
      </w:r>
      <w:r xml:space="preserve">
        <w:t> </w:t>
      </w:r>
      <w:r xml:space="preserve">
        <w:t> </w:t>
      </w:r>
      <w:r>
        <w:t xml:space="preserve">Section 39.0262;</w:t>
      </w:r>
    </w:p>
    <w:p w:rsidR="003F3435" w:rsidRDefault="0032493E">
      <w:pPr>
        <w:spacing w:line="480" w:lineRule="auto"/>
        <w:ind w:firstLine="1440"/>
        <w:jc w:val="both"/>
      </w:pPr>
      <w:r>
        <w:t xml:space="preserve">(5)</w:t>
      </w:r>
      <w:r xml:space="preserve">
        <w:t> </w:t>
      </w:r>
      <w:r xml:space="preserve">
        <w:t> </w:t>
      </w:r>
      <w:r>
        <w:t xml:space="preserve">Sections 39.034(c), (d), and (d-1);</w:t>
      </w:r>
    </w:p>
    <w:p w:rsidR="003F3435" w:rsidRDefault="0032493E">
      <w:pPr>
        <w:spacing w:line="480" w:lineRule="auto"/>
        <w:ind w:firstLine="1440"/>
        <w:jc w:val="both"/>
      </w:pPr>
      <w:r>
        <w:t xml:space="preserve">(6)</w:t>
      </w:r>
      <w:r xml:space="preserve">
        <w:t> </w:t>
      </w:r>
      <w:r xml:space="preserve">
        <w:t> </w:t>
      </w:r>
      <w:r>
        <w:t xml:space="preserve">Section 39.302; and</w:t>
      </w:r>
    </w:p>
    <w:p w:rsidR="003F3435" w:rsidRDefault="0032493E">
      <w:pPr>
        <w:spacing w:line="480" w:lineRule="auto"/>
        <w:ind w:firstLine="1440"/>
        <w:jc w:val="both"/>
      </w:pPr>
      <w:r>
        <w:t xml:space="preserve">(7)</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(a)  This section applies to a school district campus in which at least 90 percent of the students have been identified as having a significant cognitive disability and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39.053, Education Code, is amended by amending Subsections (a), (c), and (f) and adding Subsections (c-4), (c-5), (c-6), (c-7), (c-8),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Notwithstanding Subsections (f-1) and (f-3), the commissioner shall incorporate into the indicators adopted under this subchapter the measure developed under Subsection (c-5) not later than the 2029-2030 school year.  This subsection expires September 1, 2031.</w:t>
      </w:r>
    </w:p>
    <w:p w:rsidR="003F3435" w:rsidRDefault="0032493E">
      <w:pPr>
        <w:spacing w:line="480" w:lineRule="auto"/>
        <w:ind w:firstLine="720"/>
        <w:jc w:val="both"/>
      </w:pPr>
      <w:r>
        <w:rPr>
          <w:u w:val="single"/>
        </w:rPr>
        <w:t xml:space="preserve">(c-7)</w:t>
      </w:r>
      <w:r>
        <w:rPr>
          <w:u w:val="single"/>
        </w:rPr>
        <w:t xml:space="preserve"> </w:t>
      </w:r>
      <w:r>
        <w:rPr>
          <w:u w:val="single"/>
        </w:rPr>
        <w:t xml:space="preserve"> </w:t>
      </w:r>
      <w:r>
        <w:rPr>
          <w:u w:val="single"/>
        </w:rPr>
        <w:t xml:space="preserve">For purposes of Subsection (c)(3), the agency shall use appropriate alternative prior-year data to evaluate the performance under that subsection of a newly established campus that lacks the prior-year data necessary to complete a portion of the calculation methodology that relies on prior-year campus data.</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For purposes of evaluating school districts and campuses based on a college, career, and military readiness indicator adopted under Subsection (c) that requires the use of prior-year information, the agency shall ensure that a school district may submit additional prior-year information relating to the indicator during the specified time period during which the district may submit additional current-year information for that indicator.</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Subchapter C, Chapter 39, Education Code, is amended by adding Sections 39.0531, 39.0532, 39.0534, and 39.0535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inventory of industry-recognized certifications developed under Section 312.003,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certifications included in the credential library established under Section 2308A.007,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postsecondary credential, be a credential of value, as designated by the Texas Higher Education Coordinating Board for purposes of Section 130A.101(c)(1).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entities described by Subsection (a) shall regularly review and, if necessary, update the eligibility of industry certifications under that subsection, including whether the programs of study for those certifications still meet the requirements under Subsections (a)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39.0535.</w:t>
      </w:r>
      <w:r>
        <w:rPr>
          <w:u w:val="single"/>
        </w:rPr>
        <w:t xml:space="preserve"> </w:t>
      </w:r>
      <w:r>
        <w:rPr>
          <w:u w:val="single"/>
        </w:rPr>
        <w:t xml:space="preserve"> </w:t>
      </w:r>
      <w:r>
        <w:rPr>
          <w:u w:val="single"/>
        </w:rPr>
        <w:t xml:space="preserve">PERFORMANCE INDICATORS STUDY.  (a) The commissioner shall enter into a memorandum of understanding with an institution of higher education to conduct a study regarding methods to diversify the performance standards required for domains and indicators of achievement adopted under this subchapter, such as the potential impact of developing indicators that account for educator quality, advanced academic coursework, student engagement, workforce development, parental engagement, and school climate.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2308A.007, Government Code, is amended to read as follows:</w:t>
      </w:r>
    </w:p>
    <w:p w:rsidR="003F3435" w:rsidRDefault="0032493E">
      <w:pPr>
        <w:spacing w:line="480" w:lineRule="auto"/>
        <w:ind w:firstLine="720"/>
        <w:jc w:val="both"/>
      </w:pPr>
      <w:r>
        <w:t xml:space="preserve">Sec.</w:t>
      </w:r>
      <w:r xml:space="preserve">
        <w:t> </w:t>
      </w:r>
      <w:r>
        <w:t xml:space="preserve">2308A.007.</w:t>
      </w:r>
      <w:r xml:space="preserve">
        <w:t> </w:t>
      </w:r>
      <w:r xml:space="preserve">
        <w:t> </w:t>
      </w:r>
      <w:r>
        <w:t xml:space="preserve">CREDENTIAL LIBRARY.  (a)  The coordinating board and the commission jointly </w:t>
      </w:r>
      <w:r>
        <w:rPr>
          <w:u w:val="single"/>
        </w:rPr>
        <w:t xml:space="preserve">shall</w:t>
      </w:r>
      <w:r>
        <w:t xml:space="preserve"> [</w:t>
      </w:r>
      <w:r>
        <w:rPr>
          <w:strike/>
        </w:rPr>
        <w:t xml:space="preserve">may</w:t>
      </w:r>
      <w:r>
        <w:t xml:space="preserve">]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rPr>
          <w:u w:val="single"/>
        </w:rPr>
        <w:t xml:space="preserve">The</w:t>
      </w:r>
      <w:r>
        <w:t xml:space="preserve"> [</w:t>
      </w:r>
      <w:r>
        <w:rPr>
          <w:strike/>
        </w:rPr>
        <w:t xml:space="preserve">A</w:t>
      </w:r>
      <w:r>
        <w:t xml:space="preserve">] credential library established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information included in the electronic tools or platforms developed by the coordinating board under Section 61.09022(a), Education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list of industry certifications developed under Section 39.0531,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data interoperability between relevant state agencies</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w:t>
      </w:r>
      <w:r>
        <w:rPr>
          <w:u w:val="single"/>
        </w:rPr>
        <w:t xml:space="preserve">shall</w:t>
      </w:r>
      <w:r>
        <w:t xml:space="preserve"> [</w:t>
      </w:r>
      <w:r>
        <w:rPr>
          <w:strike/>
        </w:rPr>
        <w:t xml:space="preserve">may</w:t>
      </w:r>
      <w:r>
        <w:t xml:space="preserve">] designate a host agency </w:t>
      </w:r>
      <w:r>
        <w:rPr>
          <w:u w:val="single"/>
        </w:rPr>
        <w:t xml:space="preserve">to contract with an experienced and recognized third-party vendor</w:t>
      </w:r>
      <w:r>
        <w:t xml:space="preserve"> [</w:t>
      </w:r>
      <w:r>
        <w:rPr>
          <w:strike/>
        </w:rPr>
        <w:t xml:space="preserve">or operating entity</w:t>
      </w:r>
      <w:r>
        <w:t xml:space="preserve">] for </w:t>
      </w:r>
      <w:r>
        <w:rPr>
          <w:u w:val="single"/>
        </w:rPr>
        <w:t xml:space="preserve">the</w:t>
      </w:r>
      <w:r>
        <w:t xml:space="preserve"> [</w:t>
      </w:r>
      <w:r>
        <w:rPr>
          <w:strike/>
        </w:rPr>
        <w:t xml:space="preserve">a</w:t>
      </w:r>
      <w:r>
        <w:t xml:space="preserve">]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w:t>
      </w:r>
      <w:r>
        <w:rPr>
          <w:u w:val="single"/>
        </w:rPr>
        <w:t xml:space="preserve">the</w:t>
      </w:r>
      <w:r>
        <w:t xml:space="preserve"> [</w:t>
      </w:r>
      <w:r>
        <w:rPr>
          <w:strike/>
        </w:rPr>
        <w:t xml:space="preserve">a</w:t>
      </w:r>
      <w:r>
        <w:t xml:space="preserve">] credential library under this section, the coordinating board and the commission shall solicit input from the agency and relevant stakeholders.</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Sections 312.003(a) and (c), Labor Code, as amended by H.B. 2 and H.B. 120, Acts of the 89th Legislature, Regular Session, 2025,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39.0531(b), Education Code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w:t>
      </w:r>
      <w:r>
        <w:rPr>
          <w:u w:val="single"/>
        </w:rPr>
        <w:t xml:space="preserve">shall</w:t>
      </w:r>
      <w:r>
        <w:t xml:space="preserve"> [</w:t>
      </w:r>
      <w:r>
        <w:rPr>
          <w:strike/>
        </w:rPr>
        <w:t xml:space="preserve">may</w:t>
      </w:r>
      <w:r>
        <w:t xml:space="preserve">] consult with local workforce boards, the Texas Workforce Investment Council, the Texas Economic Development and Tourism Office, the Texas Education Agency, and the Texas Higher Education Coordinating Board.</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nine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39.025(a-2),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