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89S20019 CMO-D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 Metcalf, Landgraf, et al.</w:t>
      </w:r>
      <w:r xml:space="preserve">
        <w:tab wTab="150" tlc="none" cTlc="0"/>
      </w:r>
      <w:r>
        <w:t xml:space="preserve">H.B.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 39.026;</w:t>
      </w:r>
    </w:p>
    <w:p w:rsidR="003F3435" w:rsidRDefault="0032493E">
      <w:pPr>
        <w:spacing w:line="480" w:lineRule="auto"/>
        <w:ind w:firstLine="1440"/>
        <w:jc w:val="both"/>
      </w:pPr>
      <w:r>
        <w:t xml:space="preserve">(3)</w:t>
      </w:r>
      <w:r xml:space="preserve">
        <w:t> </w:t>
      </w:r>
      <w:r xml:space="preserve">
        <w:t> </w:t>
      </w:r>
      <w:r>
        <w:t xml:space="preserve">Section 39.0262;</w:t>
      </w:r>
    </w:p>
    <w:p w:rsidR="003F3435" w:rsidRDefault="0032493E">
      <w:pPr>
        <w:spacing w:line="480" w:lineRule="auto"/>
        <w:ind w:firstLine="1440"/>
        <w:jc w:val="both"/>
      </w:pPr>
      <w:r>
        <w:t xml:space="preserve">(4)</w:t>
      </w:r>
      <w:r xml:space="preserve">
        <w:t> </w:t>
      </w:r>
      <w:r xml:space="preserve">
        <w:t> </w:t>
      </w:r>
      <w:r>
        <w:t xml:space="preserve">Sections 39.034(c), (d), and (d-1);</w:t>
      </w:r>
    </w:p>
    <w:p w:rsidR="003F3435" w:rsidRDefault="0032493E">
      <w:pPr>
        <w:spacing w:line="480" w:lineRule="auto"/>
        <w:ind w:firstLine="1440"/>
        <w:jc w:val="both"/>
      </w:pPr>
      <w:r>
        <w:t xml:space="preserve">(5)</w:t>
      </w:r>
      <w:r xml:space="preserve">
        <w:t> </w:t>
      </w:r>
      <w:r xml:space="preserve">
        <w:t> </w:t>
      </w:r>
      <w:r>
        <w:t xml:space="preserve">Section 39.302; and</w:t>
      </w:r>
    </w:p>
    <w:p w:rsidR="003F3435" w:rsidRDefault="0032493E">
      <w:pPr>
        <w:spacing w:line="480" w:lineRule="auto"/>
        <w:ind w:firstLine="1440"/>
        <w:jc w:val="both"/>
      </w:pPr>
      <w:r>
        <w:t xml:space="preserve">(6)</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the Texas Higher Education Coordinating Board, and the Texas Workforce Commission shall jointly develop and make available a list of industry certifications that are eligible for purposes of Section 39.053(c)(1)(B)(v).  In developing the list, the entities described by this subsection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inventory of industry-recognized certifications developed under Section 312.003,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certifications included in the credential library established under Section 2308A.007,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industry certifications included in the list developed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entities described by Subsection (a) shall regularly review and, if necessary, update the eligibility of industry certifications under that subsection,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 the advisory council established under Chapter 312,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concurrently with the modification of performance standards under Section 39.053(f-1).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after reviewing an industry certification under Subsection (c), the entities described by Subsection (a) determine the certification is no longer eligible for purposes of Section 39.053(c)(1)(B)(v)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the three years following a determination under Subsection (d)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39.0531(b), Education Code</w:t>
      </w:r>
      <w:r>
        <w:t xml:space="preserve">.</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