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89S20029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E to read as follows:</w:t>
      </w:r>
    </w:p>
    <w:p w:rsidR="003F3435" w:rsidRDefault="0032493E">
      <w:pPr>
        <w:spacing w:line="480" w:lineRule="auto"/>
        <w:jc w:val="center"/>
      </w:pPr>
      <w:r>
        <w:rPr>
          <w:u w:val="single"/>
        </w:rPr>
        <w:t xml:space="preserve">SUBCHAPTER E.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402.152.</w:t>
      </w:r>
      <w:r>
        <w:rPr>
          <w:u w:val="single"/>
        </w:rPr>
        <w:t xml:space="preserve"> </w:t>
      </w:r>
      <w:r>
        <w:rPr>
          <w:u w:val="single"/>
        </w:rPr>
        <w:t xml:space="preserve"> </w:t>
      </w:r>
      <w:r>
        <w:rPr>
          <w:u w:val="single"/>
        </w:rPr>
        <w:t xml:space="preserve">PROVISION OF INFORMATION TO ATTORNEY GENERAL.  (a)  A law enforcement agency shall submit to the attorney general any report stating there is probable cause to believe an identified person has committed a criminal offense described by Section 402.151.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or law enforcement agency shall provide any information requested by the attorney general regarding investigations of criminal offenses described by Section 402.151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a criminal offense prescribed by the election laws of this state </w:t>
      </w:r>
      <w:r>
        <w:rPr>
          <w:u w:val="single"/>
        </w:rPr>
        <w:t xml:space="preserve">as provided by Subchapter E,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 </w:t>
      </w:r>
      <w:r>
        <w:t xml:space="preserve">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