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Zwiener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117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county to regulate impervious cover in the unincorporated area of the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240, Local Government Code, is amended by adding Section 240.912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240.912.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IMPERVIOUS COVER IN UNINCORPORATED AREA.  The commissioners court of a county may regulate impervious cover located in the unincorporated area of the county for the purpose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protecting, mitigating, or reducing flood risk;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promoting the development of flood projects, as defined by Section 15.531(2), Water Code;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promoting drainage;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promoting nature-based features to reduce flooding.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117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