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H.B.</w:t>
      </w:r>
      <w:r xml:space="preserve">
        <w:t> </w:t>
      </w:r>
      <w:r>
        <w:t xml:space="preserve">No.</w:t>
      </w:r>
      <w:r xml:space="preserve">
        <w:t> </w:t>
      </w:r>
      <w:r>
        <w:t xml:space="preserve">127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prohibition on diversity, equity, and inclusion or LGBTQ indoctrination by state agencies.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10, Subtitle Z, Government Code, is amended by adding Subchapter 3001 to read as follows:</w:t>
      </w:r>
    </w:p>
    <w:p w:rsidR="003F3435" w:rsidRDefault="0032493E">
      <w:pPr>
        <w:spacing w:line="480" w:lineRule="auto"/>
        <w:jc w:val="center"/>
      </w:pPr>
      <w:r>
        <w:rPr>
          <w:u w:val="single"/>
        </w:rPr>
        <w:t xml:space="preserve">SUBCHAPTER 3001.  PROHIBITION ON DIVERSITY, EQUITY, AND INCLUSION or LGBTQ INDOCTRINATION</w:t>
      </w:r>
    </w:p>
    <w:p w:rsidR="003F3435" w:rsidRDefault="0032493E">
      <w:pPr>
        <w:spacing w:line="480" w:lineRule="auto"/>
        <w:ind w:firstLine="720"/>
        <w:jc w:val="both"/>
      </w:pPr>
      <w:r>
        <w:rPr>
          <w:u w:val="single"/>
        </w:rPr>
        <w:t xml:space="preserve">Section</w:t>
      </w:r>
      <w:r>
        <w:rPr>
          <w:u w:val="single"/>
        </w:rPr>
        <w:t xml:space="preserve"> </w:t>
      </w:r>
      <w:r>
        <w:rPr>
          <w:u w:val="single"/>
        </w:rPr>
        <w:t xml:space="preserve">3001.001.</w:t>
      </w:r>
      <w:r>
        <w:rPr>
          <w:u w:val="single"/>
        </w:rPr>
        <w:t xml:space="preserve"> </w:t>
      </w:r>
      <w:r>
        <w:rPr>
          <w:u w:val="single"/>
        </w:rPr>
        <w:t xml:space="preserve"> </w:t>
      </w:r>
      <w:r>
        <w:rPr>
          <w:u w:val="single"/>
        </w:rPr>
        <w:t xml:space="preserve">PROHIBITION ON DIVERSITY, EQUITY, AND INCLUSION OR LGBTQ INDOCTRINATION BY STATE AGENCIES.  (a)  In this section, "state agency" has the meaning assigned by Section 2062.001.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law, all state agency rules, policies, employment practices, communications, awards of government benefits or contracts, curricula, and all other actions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treat people and entities equally regardless of race, color, or national origin and may not discriminate on the basis of race, color, or national origin;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comply with the biological reality that there are only two sexes - male and female - and they are not changeable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agency action promoting, in whole or part, the doctrine of "diversity, equity, and inclusion" or otherwise in violation of this section is null and void ab initio.</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