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89S20254 KRM-D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Hickland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171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flood risk notice requirements for certain campgrounds; providing a civil penalty.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Subtitle A, Title 9, Health and Safety Code, is amended by adding Chapter 762 to read as follows:</w:t>
      </w:r>
    </w:p>
    <w:p w:rsidR="003F3435" w:rsidRDefault="0032493E">
      <w:pPr>
        <w:spacing w:line="480" w:lineRule="auto"/>
        <w:jc w:val="center"/>
      </w:pPr>
      <w:r>
        <w:rPr>
          <w:u w:val="single"/>
        </w:rPr>
        <w:t xml:space="preserve">CHAPTER 762. CAMPGROUNDS</w:t>
      </w:r>
      <w:r>
        <w:t xml:space="preserve"> 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762.001.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DEFINITION.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 this chapter, "campground" means a commercial property designed to provide cabins for transient guest use or areas for locating recreational vehicles or tents for transient guest use.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762.002.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FLOOD RISK NOTICE.  The owner or operator of a campground located on or near a body of water that is at risk of flooding shall before each camper is allowed access to the campground: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provide written notice to the camper, or the parent or legal guardian of a camper who is a minor, of the risk of flooding at the campground;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ensure the camper, or the parent or legal guardian of a camper who is a minor, signs and submits to the owner or operator a statement acknowledging receipt of the notice.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762.003.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CIVIL PENALTY.  (a)  An owner or operator of a campground who fails to comply with Section 762.002 is liable to this state for a civil penalty of $1,000 for each violation. </w:t>
      </w:r>
      <w:r>
        <w:rPr>
          <w:u w:val="single"/>
        </w:rPr>
        <w:t xml:space="preserve"> </w:t>
      </w:r>
      <w:r>
        <w:rPr>
          <w:u w:val="single"/>
        </w:rPr>
        <w:t xml:space="preserve">Each day a violation continues constitutes a separate violation.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attorney general may sue to collect the penalty and may recover attorney's fees and costs incurred in bringing an action under this section.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on the 91st day after the last day of the legislative session.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171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