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89S20343 MZM-D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Flores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182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participation by flood prone counties in the National Weather Service StormReady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Subtitle B, Title 11, Local Government Code, is amended by adding Chapter 354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354. </w:t>
      </w:r>
      <w:r>
        <w:rPr>
          <w:u w:val="single"/>
        </w:rPr>
        <w:t xml:space="preserve"> </w:t>
      </w:r>
      <w:r>
        <w:rPr>
          <w:u w:val="single"/>
        </w:rPr>
        <w:t xml:space="preserve">COUNTY FLOOD PROTECTION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354.001.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PARTICIPATION IN STORMREADY PROGRAM.  (a) </w:t>
      </w:r>
      <w:r>
        <w:rPr>
          <w:u w:val="single"/>
        </w:rPr>
        <w:t xml:space="preserve"> </w:t>
      </w:r>
      <w:r>
        <w:rPr>
          <w:u w:val="single"/>
        </w:rPr>
        <w:t xml:space="preserve">In this section, "flood prone county" means a county in which a disaster involving storms or flooding has been declared in accordance with state or federal law in the past 10 years.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flood prone county shall complete the National Weather Service StormReady program not later than the second anniversary of the date a disaster is declared involving storms or flooding affecting the county.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flood prone county shall renew the county's National Weather Service StormReady recognition every four years.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Not later than the second anniversary of the effective date of this Act and notwithstanding Section 354.001, Local Government Code, as added by this Act, a county to which that section applies shall complete the National Weather Service StormReady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182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