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192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funding of, contracting with, and employment for law enforcement agencies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county, municipality, municipal utility district, school district, junior college district, or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local government, a property owners' association, or an owner of land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local government or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county, municipality, municipal utility district, school district, junior college district, or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local government, a property owners' association, or an owner of land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local government or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120.002, Local Government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applies only to a county with a population of more than 3.3 million.  A county shall hold an </w:t>
      </w:r>
      <w:r>
        <w:rPr>
          <w:u w:val="single"/>
        </w:rPr>
        <w:t xml:space="preserve">election in accordance with this chapter if the county adopts a budget or changes an adopted budget resulting in a budget for a fiscal year that, compared to the budget adopted by the county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an effect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reallocates unspent funding that was appropriated to a law enforcement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reallocates funding previously appropriated for a specific law enforcement position to another agency.</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w:t>
      </w:r>
      <w:r>
        <w:rPr>
          <w:u w:val="single"/>
        </w:rPr>
        <w:t xml:space="preserve">or (a-1)</w:t>
      </w:r>
      <w:r>
        <w:t xml:space="preserve"> until the county receives voter approval for the proposed reduction or reallocation at an election held for that purpose.  The county may, at any time, order the election to be held on the 30th day after the date the county orders the election. Section 41.001, Election Code, does not apply to an election under this subsection.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120.006(a),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120.002(a) </w:t>
      </w:r>
      <w:r>
        <w:rPr>
          <w:u w:val="single"/>
        </w:rPr>
        <w:t xml:space="preserve">or (a-1)</w:t>
      </w:r>
      <w:r>
        <w:t xml:space="preserve"> without the required voter approval and who resides in the county may file a complaint with the criminal justice division of the office of the governor.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120.007(a), (c), and (d),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120.002(a) </w:t>
      </w:r>
      <w:r>
        <w:rPr>
          <w:u w:val="single"/>
        </w:rPr>
        <w:t xml:space="preserve">or (a-1)</w:t>
      </w:r>
      <w:r>
        <w:t xml:space="preserve"> without the required voter approval.  The comptroller shall issue a written determination to the governor, lieutenant governor, speaker of the house of representatives, and governing body of the county.</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120.002(a) </w:t>
      </w:r>
      <w:r>
        <w:rPr>
          <w:u w:val="single"/>
        </w:rPr>
        <w:t xml:space="preserve">or (a-1)</w:t>
      </w:r>
      <w:r>
        <w:t xml:space="preserve">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26.013, Tax Code, in a tax year the comptroller determines that a county implemented a proposed reduction or reallocation described by Section 120.002(a) </w:t>
      </w:r>
      <w:r>
        <w:rPr>
          <w:u w:val="single"/>
        </w:rPr>
        <w:t xml:space="preserve">or (a-1)</w:t>
      </w:r>
      <w:r>
        <w:t xml:space="preserve"> without the required voter approval, the difference between the actual tax rate and voter-approval tax rate is considered to be zero.</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(a)  This section applies only to a county with a population of more than 3.3 million.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