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89S20781 KRM-D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Campos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307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youth camp flood safety requirements and a study on and grants for flotation devices for youth camp cabins.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141, Health and Safety Code, is amended by adding Sections 141.0091, 141.021, and 141.022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141.0091.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FLOOD SAFETY REQUIREMENTS.  (a)  This section does not apply to a youth camp subject to a flood plan as designated under state or federal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youth camp operator shall for each youth camp cabin used as an overnight accommodation for campers provide: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life jacket for each camper assigned to the cabin;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life rafts with sufficient capacity to support the maximum number of campers that may be assigned to the cabin.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monitor youth camps for compliance with this section and post reports of noncompliance on the department's Internet website.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141.021.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STUDY ON COST OF LIFE JACKETS AND LIFE RAFTS FOR YOUTH CAMPS.  (a)  The department shall conduct a study on the cost of providing youth camp cabins with: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life jacket for each camper assigned to the cabin;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life rafts with sufficient capacity to support the maximum number of campers that may be assigned to the cabin.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141.022.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SAFETY MEASURE STATE GRANT PROGRAM.  (a)  The department shall establish a program to award grants to cover 50 percent of the costs incurred by a youth camp operator to equip each youth camp cabin with: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life jacket for each camper assigned to the cabin;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life rafts with sufficient capacity to support the maximum number of campers that may be assigned to the cabin.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legislature shall appropriate $10 million for the grant program established under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expires September 1, 2031.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Notwithstanding Section 141.0091, Health and Safety Code, as added by this Act, a youth camp operator who is operating a youth camp on the effective date of this Act is not required to comply with the requirements of that section until January 1, 2029.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Department of State Health Services shall complete the study required by Section 141.021, Health and Safety Code, as added by this Act, not later than April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307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