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20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St. Ann's Catholic School in Midland is celebrating its 75th anniversary in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Founded in 1950, St. Ann's Catholic School serves students in prekindergarten through the eighth grade; a faith-based coeducational institution, it offers a curriculum that includes language arts, mathematics, science, and social studies, as well as enrichment in such areas as physical education, Spanish, music, and art;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Today, St. Ann's benefits from the able guidance of principal Tracy Owen, who attended and has taught at the school; other St. Ann's graduates have gone on to become doctors, lawyers, judges, and politicians, and the school also counts an Olympian among its alumni;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 three-quarters of a century, the faculty and staff of St. Ann's Catholic School have committed themselves to meeting the educational needs of their students, and the school has played a vital role in helping many young Texans build a bright and fulfilling future;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Texas, 2nd Called Session, hereby commemorate the 75th anniversary of St.</w:t>
      </w:r>
      <w:r xml:space="preserve">
        <w:t> </w:t>
      </w:r>
      <w:r>
        <w:t xml:space="preserve">Ann's Catholic School and extend to all those associated with the institution sincere best wishes for continued success;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school as an expression of high regard by the Texas House of Representatives and Senate.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Craddick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20 was adopted by the House on September 3, 2025, by a non-record vote.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20 was adopted by the Senate on September 4, 2025, by a viva-voce vote.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20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