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89S20354 MAW-D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Leo Wilson</w:t>
      </w:r>
      <w:r xml:space="preserve">
        <w:tab wTab="150" tlc="none" cTlc="0"/>
      </w:r>
      <w:r>
        <w:t xml:space="preserve">H.R.</w:t>
      </w:r>
      <w:r xml:space="preserve">
        <w:t> </w:t>
      </w:r>
      <w:r>
        <w:t xml:space="preserve">No.</w:t>
      </w:r>
      <w:r xml:space="preserve">
        <w:t> </w:t>
      </w:r>
      <w:r>
        <w:t xml:space="preserve">58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RESOLVED by the House of Representatives of the 89th Texas Legislature, That the permanent rules of the House of Representatives of the 89th Legislature be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Rule 4, Section 4A,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4A.</w:t>
      </w:r>
      <w:r xml:space="preserve">
        <w:t> </w:t>
      </w:r>
      <w:r xml:space="preserve">
        <w:t> </w:t>
      </w:r>
      <w:r>
        <w:t xml:space="preserve">ADDITIONAL RESTRICTIONS.  If, at the time the speaker announces the membership of standing committees, the members of the house of one political party constitute a majority of the membership of the house, the speaker shall designate a member of that party to serve as chair of each standing committee.  [</w:t>
      </w:r>
      <w:r>
        <w:rPr>
          <w:strike/>
        </w:rPr>
        <w:t xml:space="preserve">The speaker shall not designate a member of that party to serve as vice-chair of a standing committee.</w:t>
      </w:r>
      <w:r>
        <w:t xml:space="preserve">]</w:t>
      </w:r>
    </w:p>
    <w:p w:rsidR="003F3435" w:rsidRDefault="0032493E">
      <w:pPr>
        <w:spacing w:line="480" w:lineRule="auto"/>
        <w:ind w:firstLine="72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Rule 4, Section 6A, is amended by adding Subsection (c)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vice-chair of a committee is not entitled to receive a separate budget for that position.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H.R.</w:t>
    </w:r>
    <w:r xml:space="preserve">
      <w:t> </w:t>
    </w:r>
    <w:r>
      <w:t xml:space="preserve">No.</w:t>
    </w:r>
    <w:r xml:space="preserve">
      <w:t> </w:t>
    </w:r>
    <w:r>
      <w:t xml:space="preserve">58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