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for justices of the peace a training program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on or before the first anniversary of the date the justice is first elected the training program developed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State Health Services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Justices of the Peace and Constables Association of Texas in developing the training program required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agreement authorize the Texas Justice Court Training Center to administer the training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shall adopt procedures to implement Subsection (e) or (f),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418.106, Government Code, is amended by adding Subsections (b-1), (f), and (g)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political subdivision served by a local or interjurisdictional emergency management agency is included in a disaster declaration issued by the governor under Section 418.014 or by the president of the United States, the local or interjurisdictional emergency management agency is not required to conduct a drill on the agency's emergency management plan for one year from the date the declaration is initially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of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of Public Safety or the Texas Division of Emergency Management may, as authorized by the Federal Aviation Administration or the United States Department of Homeland Security,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Department of Public Safety or the Texas Division of Emergency Management to neutralize an unmanned aircraft operated over or near a critical infrastructure facility by a person described by Section 423.0045(c)(6), (7), (8), or (9).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to immediately on the occurrence of a mass fatality event assess the geographic area where the event occurred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entity's efforts with the appropriate mass fatality operations response team when deploying in response to a mass fatality event to ensure coordination in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numbers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human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human body.</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Water Engineering Research Center at The University of Texas at Arlington;</w:t>
      </w:r>
    </w:p>
    <w:p w:rsidR="003F3435" w:rsidRDefault="0032493E">
      <w:pPr>
        <w:spacing w:line="480" w:lineRule="auto"/>
        <w:ind w:firstLine="1440"/>
        <w:jc w:val="both"/>
      </w:pPr>
      <w:r>
        <w:t xml:space="preserve">(7)</w:t>
      </w:r>
      <w:r xml:space="preserve">
        <w:t> </w:t>
      </w:r>
      <w:r xml:space="preserve">
        <w:t> </w:t>
      </w:r>
      <w:r>
        <w:t xml:space="preserve">the office of the state climatologist; and</w:t>
      </w:r>
    </w:p>
    <w:p w:rsidR="003F3435" w:rsidRDefault="0032493E">
      <w:pPr>
        <w:spacing w:line="480" w:lineRule="auto"/>
        <w:ind w:firstLine="1440"/>
        <w:jc w:val="both"/>
      </w:pPr>
      <w:r>
        <w:t xml:space="preserve">(8)</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