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outdoor warning sirens in flash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state agency any money necessary to carry out the grant program established under this section and the powers and duties established under Subchapter M, Chapter 16, Water Code;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delegate to a state agency the authority to administer the grant program established under this section, including any authority necessary for that state agency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transfer to an appropriate fund or account administered by the state agency any money transferred to the agency under Subdivision (1);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use money transferred under Subdivision (1) for the necessary and reasonable expenses incurred by the state agency in administering this section or Subchapter M, Chapter 16, Water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"Flash 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 and includes sensors, gauges, and all other components essential to the function of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FLASH FLOOD-PRONE AREAS.  (a)  The board shall identify each area in a flash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flash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appropriate municipality or county shall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outdoor warning siren is not required for an area in which a governmental entity already maintains and operates an outdoor warning siren that meets the best management practices and guidance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county or municipality with an outdoor warning siren required under this section or any other governmental entity with an outdoor warning siren in a flash flood-prone area shall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identification under this section of an area that warrants an outdoor warning siren is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 facilitating development of best management practices and guidance: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operation of an outdoor warning siren in a flash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outdoor warning siren installed, maintained, or operated in a flash flood-prone area, including guidance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contract or consult with other entities when adopting rules and procedures to implement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board may not approve financial assistance, other than financial assistance for an outdoor warning siren, including assistance described by Section 418.027, Government Code, for a county or municipality until the county or municipality certifies to the board that it is in compliance with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16.502(j), Water Code, as added by this Act, applies only to an application for financial assistance submitted to the Texas Water Development Board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 passed the Senate on August</w:t>
      </w:r>
      <w:r xml:space="preserve">
        <w:t> </w:t>
      </w:r>
      <w:r>
        <w:t xml:space="preserve">18,</w:t>
      </w:r>
      <w:r xml:space="preserve">
        <w:t> </w:t>
      </w:r>
      <w:r>
        <w:t xml:space="preserve">2025, by the following vote:  Yeas</w:t>
      </w:r>
      <w:r xml:space="preserve">
        <w:t> </w:t>
      </w:r>
      <w:r>
        <w:t xml:space="preserve">30, Nays</w:t>
      </w:r>
      <w:r xml:space="preserve">
        <w:t> </w:t>
      </w:r>
      <w:r>
        <w:t xml:space="preserve">0; and that the Senate concurred in House amendment on August</w:t>
      </w:r>
      <w:r xml:space="preserve">
        <w:t> </w:t>
      </w:r>
      <w:r>
        <w:t xml:space="preserve">27,</w:t>
      </w:r>
      <w:r xml:space="preserve">
        <w:t> </w:t>
      </w:r>
      <w:r>
        <w:t xml:space="preserve">2025, by the following vote:  Yeas</w:t>
      </w:r>
      <w:r xml:space="preserve">
        <w:t> </w:t>
      </w:r>
      <w:r>
        <w:t xml:space="preserve">27,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 passed the House, with amendment, on August</w:t>
      </w:r>
      <w:r xml:space="preserve">
        <w:t> </w:t>
      </w:r>
      <w:r>
        <w:t xml:space="preserve">26,</w:t>
      </w:r>
      <w:r xml:space="preserve">
        <w:t> </w:t>
      </w:r>
      <w:r>
        <w:t xml:space="preserve">2025, by the following vote:  Yeas</w:t>
      </w:r>
      <w:r xml:space="preserve">
        <w:t> </w:t>
      </w:r>
      <w:r>
        <w:t xml:space="preserve">136, Nays</w:t>
      </w:r>
      <w:r xml:space="preserve">
        <w:t> </w:t>
      </w:r>
      <w:r>
        <w:t xml:space="preserve">0,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