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15</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only as required by law, including Chapter 2B and Article 39.14, Code of Criminal Procedure, and Section 511.021,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