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89S20731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50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groundwater study of certain aquifers underlying the territory of the Neches and Trinity Valleys Groundwater Conservation District by the Texas Water Development Board before the issuance of permits or permit amendments by the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8863, Special District Local Laws Code, is amended by adding Section 8863.106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8863.106.</w:t>
      </w:r>
      <w:r>
        <w:rPr>
          <w:u w:val="single"/>
        </w:rPr>
        <w:t xml:space="preserve"> </w:t>
      </w:r>
      <w:r>
        <w:rPr>
          <w:u w:val="single"/>
        </w:rPr>
        <w:t xml:space="preserve"> </w:t>
      </w:r>
      <w:r>
        <w:rPr>
          <w:u w:val="single"/>
        </w:rPr>
        <w:t xml:space="preserve">STUDY; PERMIT MORATORIUM.  (a)  The Texas Water Development Board shall conduct a study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analyze the annual maximum amount of groundwater that can be produced in perpetuity in the district from the  aquifers underlying the district's territory without impeding the achievement of the desired future conditions adopted for those aquifers that are applicable to the territory of the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compare the results of the analyses conducted under Subdivision (1) to the amount of modeled available groundwater determined by the executive administrator of the Texas Water Development Board before September 1, 2025, for each aquifer;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assess the hydrological effects in the district of proposed groundwater production in the district as represented in the applicable desired future conditions, and of transfers of produced groundwater to areas outside of the district proposed in any pending applications for a permit or permit amendment from the district, and compare those effects with the hydrological effects that would be expected if groundwater production in the district were limited annually to the amount that could be produced in perpetuity as determined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hydrological effects assessed under Subsection (a)(3) must include effects on average annual recharge, inflows, discharges, spring flows, capture, and interaction between groundwater and surface water in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January 12, 2027, the Texas Water Development Board shall prepare and submit to the governor, the lieutenant governor, the speaker of the house of representatives, and each standing legislative committee with primary jurisdiction over groundwater a report on the results of the study conducted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district may not issue a new permit or permit amendment to an applicant for the production and transfer out of the district of groundwater until after the 270th day after the deadline for the submission of the report required by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expires November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8863.106(d), Special District Local Laws Code, as added by this Act, does not apply to a permit or a permit amendment issued by the Neches and Trinity Valleys Groundwater Conservation District before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