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James Bugg Jr.</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The passing of James Bruce Bugg Jr. on August 6, 2025, at the age of 70, concluded a remarkable life of service to San Antonio and to the State of Texas; and</w:t>
      </w:r>
    </w:p>
    <w:p w:rsidR="003F3435" w:rsidRDefault="003F3435"/>
    <w:p w:rsidR="003F3435" w:rsidRDefault="003F3435"/>
    <w:p w:rsidR="003F3435" w:rsidRDefault="0032493E">
      <w:pPr>
        <w:spacing w:line="480" w:lineRule="auto"/>
        <w:ind w:firstLine="720"/>
        <w:jc w:val="both"/>
      </w:pPr>
      <w:r>
        <w:rPr>
          <w:b/>
        </w:rPr>
        <w:t xml:space="preserve">WHEREAS</w:t>
      </w:r>
      <w:r>
        <w:t xml:space="preserve">, Born in Missouri in October 1954, Bruce Bugg attained the rank of Eagle Scout as a high school student; he went on to earn both his bachelor's and law degrees from Southern Methodist University; embarking on a career in banking, he rose to become chair, president, and CEO of Southwest Bancshares, the holding company for Texas Partners Bank, as well as chair and CEO of Texas Partners Bank; in addition, he served as chair and CEO of a private investment firm, Argyle Investment Company; and</w:t>
      </w:r>
    </w:p>
    <w:p w:rsidR="003F3435" w:rsidRDefault="003F3435"/>
    <w:p w:rsidR="003F3435" w:rsidRDefault="003F3435"/>
    <w:p w:rsidR="003F3435" w:rsidRDefault="0032493E">
      <w:pPr>
        <w:spacing w:line="480" w:lineRule="auto"/>
        <w:ind w:firstLine="720"/>
        <w:jc w:val="both"/>
      </w:pPr>
      <w:r>
        <w:rPr>
          <w:b/>
        </w:rPr>
        <w:t xml:space="preserve">WHEREAS</w:t>
      </w:r>
      <w:r>
        <w:t xml:space="preserve">, Mr.</w:t>
      </w:r>
      <w:r xml:space="preserve">
        <w:t> </w:t>
      </w:r>
      <w:r>
        <w:t xml:space="preserve">Bugg benefited his community in numerous leadership roles; a cofounder of the Bexar County Performing Arts Center Foundation, he was the force behind the establishment of its Tobin Center for the Performing Arts; he served as chair and trustee of the Tobin Endowment; in addition, he served on the boards of the McNay Art Museum, the Texas Cultural Trust, the Santa</w:t>
      </w:r>
      <w:r xml:space="preserve">
        <w:t> </w:t>
      </w:r>
      <w:r>
        <w:t xml:space="preserve">Fe Opera, St.</w:t>
      </w:r>
      <w:r xml:space="preserve">
        <w:t> </w:t>
      </w:r>
      <w:r>
        <w:t xml:space="preserve">Mary's Hall, and the Greater San Antonio Chamber of Commerce; he also supported science as a trustee of the Texas Biomedical Research Institute and the Texas Research &amp; Technology Foundation; and</w:t>
      </w:r>
    </w:p>
    <w:p w:rsidR="003F3435" w:rsidRDefault="003F3435"/>
    <w:p w:rsidR="003F3435" w:rsidRDefault="003F3435"/>
    <w:p w:rsidR="003F3435" w:rsidRDefault="0032493E">
      <w:pPr>
        <w:spacing w:line="480" w:lineRule="auto"/>
        <w:ind w:firstLine="720"/>
        <w:jc w:val="both"/>
      </w:pPr>
      <w:r>
        <w:rPr>
          <w:b/>
        </w:rPr>
        <w:t xml:space="preserve">WHEREAS</w:t>
      </w:r>
      <w:r>
        <w:t xml:space="preserve">, At the state level, Mr.</w:t>
      </w:r>
      <w:r xml:space="preserve">
        <w:t> </w:t>
      </w:r>
      <w:r>
        <w:t xml:space="preserve">Bugg received a gubernatorial appointment to the board of Humanities Texas; he went on to serve as chair and president of the Texas Economic Development Corporation, and he was a senior advisor to Governor Rick Perry on economic and development strategies and initiatives; in 2015, he was appointed to the Texas Transportation Commission, and he was named chair two years later; Governor Greg Abbott reappointed him as chair in 2021; during his noteworthy tenure, he worked tirelessly to improve safety, enhance mobility, and redesign infrastructure to meet the state's needs for decades to come; and</w:t>
      </w:r>
    </w:p>
    <w:p w:rsidR="003F3435" w:rsidRDefault="003F3435"/>
    <w:p w:rsidR="003F3435" w:rsidRDefault="003F3435"/>
    <w:p w:rsidR="003F3435" w:rsidRDefault="0032493E">
      <w:pPr>
        <w:spacing w:line="480" w:lineRule="auto"/>
        <w:ind w:firstLine="720"/>
        <w:jc w:val="both"/>
      </w:pPr>
      <w:r>
        <w:rPr>
          <w:b/>
        </w:rPr>
        <w:t xml:space="preserve">WHEREAS</w:t>
      </w:r>
      <w:r>
        <w:t xml:space="preserve">, Bruce Bugg made a lasting, positive difference in the lives of countless Texans through his wide-ranging accomplishments, and although he is deeply missed by all who were privileged to know him, they will continue to find inspiration in his vision and integrity; now, therefore, be it</w:t>
      </w:r>
    </w:p>
    <w:p w:rsidR="003F3435" w:rsidRDefault="003F3435"/>
    <w:p w:rsidR="003F3435" w:rsidRDefault="003F3435"/>
    <w:p w:rsidR="003F3435" w:rsidRDefault="0032493E">
      <w:pPr>
        <w:spacing w:line="480" w:lineRule="auto"/>
        <w:ind w:firstLine="720"/>
        <w:jc w:val="both"/>
      </w:pPr>
      <w:r>
        <w:rPr>
          <w:b/>
        </w:rPr>
        <w:t xml:space="preserve">RESOLVED</w:t>
      </w:r>
      <w:r>
        <w:t xml:space="preserve">,</w:t>
      </w:r>
      <w:r>
        <w:t xml:space="preserve"> That the Senate of the State of Texas, 89th Legislature, 2nd Called Session, hereby pay tribute to the memory of James Bruce Bugg Jr. and extend sincere sympathy to the members of his family: to his wife, Alethea Bugg; to his sons, Jim and Tom; and to his other relatives and many friends;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Bruce Bugg.</w:t>
      </w:r>
    </w:p>
    <w:p w:rsidR="003F3435" w:rsidRDefault="003F3435"/>
    <w:p w:rsidR="003F3435" w:rsidRDefault="003F3435"/>
    <w:p w:rsidR="003F3435" w:rsidRDefault="003F3435"/>
    <w:p w:rsidR="003F3435" w:rsidRDefault="0032493E">
      <w:pPr>
        <w:spacing w:line="480" w:lineRule="auto"/>
        <w:jc w:val="right"/>
      </w:pPr>
      <w:r>
        <w:t xml:space="preserve">Campbell</w:t>
      </w:r>
    </w:p>
    <w:p w:rsidR="003F3435" w:rsidRDefault="0032493E">
      <w:pPr>
        <w:jc w:val="both"/>
      </w:pPr>
    </w:p>
    <w:tbl>
      <w:tr>
        <w:tc>
          <w:p>
            <w:r>
              <w:t xml:space="preserve">Alvarado</w:t>
            </w:r>
          </w:p>
        </w:tc>
        <w:tc>
          <w:p>
            <w:r>
              <w:t xml:space="preserve">Gutierrez</w:t>
            </w:r>
          </w:p>
        </w:tc>
        <w:tc>
          <w:p>
            <w:r>
              <w:t xml:space="preserve">Menéndez</w:t>
            </w:r>
          </w:p>
        </w:tc>
      </w:tr>
      <w:tr>
        <w:tc>
          <w:p>
            <w:r>
              <w:t xml:space="preserve">Bettencourt</w:t>
            </w:r>
          </w:p>
        </w:tc>
        <w:tc>
          <w:p>
            <w:r>
              <w:t xml:space="preserve">Hinojosa of Hidalgo</w:t>
            </w:r>
          </w:p>
        </w:tc>
        <w:tc>
          <w:p>
            <w:r>
              <w:t xml:space="preserve">Middleton</w:t>
            </w:r>
          </w:p>
        </w:tc>
      </w:tr>
      <w:tr>
        <w:tc>
          <w:p>
            <w:r>
              <w:t xml:space="preserve">Birdwell</w:t>
            </w:r>
          </w:p>
        </w:tc>
        <w:tc>
          <w:p>
            <w:r>
              <w:t xml:space="preserve">Hinojosa of Nueces</w:t>
            </w:r>
          </w:p>
        </w:tc>
        <w:tc>
          <w:p>
            <w:r>
              <w:t xml:space="preserve">Parker</w:t>
            </w:r>
          </w:p>
        </w:tc>
      </w:tr>
      <w:tr>
        <w:tc>
          <w:p>
            <w:r>
              <w:t xml:space="preserve">Blanco</w:t>
            </w:r>
          </w:p>
        </w:tc>
        <w:tc>
          <w:p>
            <w:r>
              <w:t xml:space="preserve">Huffman</w:t>
            </w:r>
          </w:p>
        </w:tc>
        <w:tc>
          <w:p>
            <w:r>
              <w:t xml:space="preserve">Sparks</w:t>
            </w:r>
          </w:p>
        </w:tc>
      </w:tr>
      <w:tr>
        <w:tc>
          <w:p>
            <w:r>
              <w:t xml:space="preserve">Eckhardt</w:t>
            </w:r>
          </w:p>
        </w:tc>
        <w:tc>
          <w:p>
            <w:r>
              <w:t xml:space="preserve">Hughes</w:t>
            </w:r>
          </w:p>
        </w:tc>
        <w:tc>
          <w:p>
            <w:r>
              <w:t xml:space="preserve">West</w:t>
            </w:r>
          </w:p>
        </w:tc>
      </w:tr>
      <w:tr>
        <w:tc>
          <w:p>
            <w:r>
              <w:t xml:space="preserve">Flores</w:t>
            </w:r>
          </w:p>
        </w:tc>
        <w:tc>
          <w:p>
            <w:r>
              <w:t xml:space="preserve">Johnson</w:t>
            </w:r>
          </w:p>
        </w:tc>
        <w:tc>
          <w:p>
            <w:r>
              <w:t xml:space="preserve">Zaffirini</w:t>
            </w:r>
          </w:p>
        </w:tc>
      </w:tr>
      <w:tr>
        <w:tc>
          <w:p/>
        </w:tc>
        <w:tc>
          <w:p>
            <w:r>
              <w:t xml:space="preserve">King</w:t>
            </w:r>
          </w:p>
        </w:tc>
        <w:tc>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