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7CE81A68" w14:textId="77777777" w:rsidTr="00AD48C7">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D01D29" w14:paraId="220A2D57" w14:textId="77777777">
            <w:pPr>
              <w:ind w:left="650"/>
              <w:jc w:val="center"/>
            </w:pPr>
            <w:r>
              <w:rPr>
                <w:b/>
              </w:rPr>
              <w:t>House Bill  27</w:t>
            </w:r>
          </w:p>
          <w:p w:rsidR="00D01D29" w14:paraId="7B7A2FDA" w14:textId="77777777">
            <w:pPr>
              <w:ind w:left="650"/>
              <w:jc w:val="center"/>
            </w:pPr>
            <w:r>
              <w:t>Senate Amendments</w:t>
            </w:r>
          </w:p>
          <w:p w:rsidR="00D01D29" w14:paraId="198AC8D1" w14:textId="77777777">
            <w:pPr>
              <w:ind w:left="650"/>
              <w:jc w:val="center"/>
            </w:pPr>
            <w:r>
              <w:t>Section-by-Section Analysis</w:t>
            </w:r>
          </w:p>
          <w:p w:rsidR="00D01D29" w14:paraId="7C46AEE6" w14:textId="77777777">
            <w:pPr>
              <w:jc w:val="center"/>
            </w:pPr>
          </w:p>
        </w:tc>
      </w:tr>
      <w:tr w14:paraId="6A0E81E4" w14:textId="77777777" w:rsidTr="00AD48C7">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D01D29" w14:paraId="6F49F7F2" w14:textId="77777777">
            <w:pPr>
              <w:jc w:val="center"/>
            </w:pPr>
            <w:r>
              <w:t>HOUSE VERSION</w:t>
            </w:r>
          </w:p>
        </w:tc>
        <w:tc>
          <w:tcPr>
            <w:tcW w:w="6248" w:type="dxa"/>
            <w:tcMar>
              <w:bottom w:w="188" w:type="dxa"/>
              <w:right w:w="0" w:type="dxa"/>
            </w:tcMar>
          </w:tcPr>
          <w:p w:rsidR="00D01D29" w14:paraId="03B9FBF9" w14:textId="77777777">
            <w:pPr>
              <w:jc w:val="center"/>
            </w:pPr>
            <w:r>
              <w:t>SENATE VERSION (IE)</w:t>
            </w:r>
          </w:p>
        </w:tc>
        <w:tc>
          <w:tcPr>
            <w:tcW w:w="6244" w:type="dxa"/>
            <w:tcMar>
              <w:bottom w:w="188" w:type="dxa"/>
              <w:right w:w="0" w:type="dxa"/>
            </w:tcMar>
          </w:tcPr>
          <w:p w:rsidR="00D01D29" w14:paraId="11043915" w14:textId="77777777">
            <w:pPr>
              <w:jc w:val="center"/>
            </w:pPr>
            <w:r>
              <w:t>CONFERENCE</w:t>
            </w:r>
          </w:p>
        </w:tc>
      </w:tr>
      <w:tr w14:paraId="4C249A53" w14:textId="77777777" w:rsidTr="00AD48C7">
        <w:tblPrEx>
          <w:tblW w:w="4820" w:type="pct"/>
          <w:tblInd w:w="6" w:type="dxa"/>
          <w:tblLayout w:type="fixed"/>
          <w:tblCellMar>
            <w:left w:w="0" w:type="dxa"/>
            <w:bottom w:w="288" w:type="dxa"/>
            <w:right w:w="720" w:type="dxa"/>
          </w:tblCellMar>
          <w:tblLook w:val="01E0"/>
        </w:tblPrEx>
        <w:tc>
          <w:tcPr>
            <w:tcW w:w="6248" w:type="dxa"/>
          </w:tcPr>
          <w:p w:rsidR="00D01D29" w14:paraId="4999E88F" w14:textId="77777777">
            <w:pPr>
              <w:jc w:val="both"/>
            </w:pPr>
            <w:r>
              <w:t>SECTION 1.  Subchapter C, Chapter 8863, Special District Local Laws Code, is amended by adding Section 8863.106 to read as follows:</w:t>
            </w:r>
          </w:p>
          <w:p w:rsidR="00D01D29" w14:paraId="307BA2E5" w14:textId="77777777">
            <w:pPr>
              <w:jc w:val="both"/>
            </w:pPr>
            <w:r>
              <w:rPr>
                <w:u w:val="single"/>
              </w:rPr>
              <w:t>Sec. 8863.106.  STUDY</w:t>
            </w:r>
            <w:r w:rsidRPr="00AD48C7">
              <w:rPr>
                <w:highlight w:val="lightGray"/>
                <w:u w:val="single"/>
              </w:rPr>
              <w:t>; PERMIT MORATORIUM</w:t>
            </w:r>
            <w:r>
              <w:rPr>
                <w:u w:val="single"/>
              </w:rPr>
              <w:t>.  (a)  The Texas Water Development Board shall conduct a study to:</w:t>
            </w:r>
          </w:p>
          <w:p w:rsidR="00D01D29" w14:paraId="12250914" w14:textId="77777777">
            <w:pPr>
              <w:jc w:val="both"/>
            </w:pPr>
            <w:r>
              <w:rPr>
                <w:u w:val="single"/>
              </w:rPr>
              <w:t>(1)  analyze the annual maximum amount of groundwater that can be produced in perpetuity in the district from the  aquifers underlying the district's territory without impeding the achievement of the desired future conditions adopted for those aquifers that are applicable to the territory of the district;</w:t>
            </w:r>
          </w:p>
          <w:p w:rsidR="00D01D29" w14:paraId="31DA0E98" w14:textId="77777777">
            <w:pPr>
              <w:jc w:val="both"/>
            </w:pPr>
            <w:r>
              <w:rPr>
                <w:u w:val="single"/>
              </w:rPr>
              <w:t>(2)  compare the results of the analyses conducted under Subdivision (1) to the amount of modeled available groundwater determined by the executive administrator of the Texas Water Development Board before September 1, 2025, for each aquifer; and</w:t>
            </w:r>
          </w:p>
          <w:p w:rsidR="00D01D29" w14:paraId="156EBE41" w14:textId="77777777">
            <w:pPr>
              <w:jc w:val="both"/>
            </w:pPr>
            <w:r>
              <w:rPr>
                <w:u w:val="single"/>
              </w:rPr>
              <w:t>(3)  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w:t>
            </w:r>
          </w:p>
          <w:p w:rsidR="00D01D29" w14:paraId="54857FB4" w14:textId="77777777">
            <w:pPr>
              <w:jc w:val="both"/>
            </w:pPr>
            <w:r>
              <w:rPr>
                <w:u w:val="single"/>
              </w:rPr>
              <w:t>(b)  The hydrological effects assessed under Subsection (a)(3) must include effects on average annual recharge, inflows, discharges, spring flows, capture, and interaction between groundwater and surface water in the district.</w:t>
            </w:r>
          </w:p>
          <w:p w:rsidR="00D01D29" w14:paraId="20811028" w14:textId="77777777">
            <w:pPr>
              <w:jc w:val="both"/>
            </w:pPr>
            <w:r>
              <w:rPr>
                <w:u w:val="single"/>
              </w:rPr>
              <w:t xml:space="preserve">(c)  Not later than January 12, 2027, the Texas Water Development Board shall prepare and submit to the governor, the lieutenant governor, the speaker of the house of </w:t>
            </w:r>
            <w:r>
              <w:rPr>
                <w:u w:val="single"/>
              </w:rPr>
              <w:t>representatives, and each standing legislative committee with primary jurisdiction over groundwater a report on the results of the study conducted under this section.</w:t>
            </w:r>
          </w:p>
          <w:p w:rsidR="00D01D29" w14:paraId="12559A5D" w14:textId="77777777">
            <w:pPr>
              <w:jc w:val="both"/>
            </w:pPr>
            <w:r w:rsidRPr="00AD48C7">
              <w:rPr>
                <w:highlight w:val="lightGray"/>
                <w:u w:val="single"/>
              </w:rPr>
              <w:t>(d)  The district may not issue a new permit or permit amendment to an applicant for the production and transfer out of the district of groundwater until after the 270th day after the deadline for the submission of the report required by Subsection (c).</w:t>
            </w:r>
          </w:p>
          <w:p w:rsidR="00D01D29" w14:paraId="790F8E5D" w14:textId="77777777">
            <w:pPr>
              <w:jc w:val="both"/>
            </w:pPr>
            <w:r>
              <w:rPr>
                <w:u w:val="single"/>
              </w:rPr>
              <w:t>(e)  This section expires November 1, 2027.</w:t>
            </w:r>
          </w:p>
          <w:p w:rsidR="00D01D29" w14:paraId="64D588E8" w14:textId="77777777">
            <w:pPr>
              <w:jc w:val="both"/>
            </w:pPr>
          </w:p>
        </w:tc>
        <w:tc>
          <w:tcPr>
            <w:tcW w:w="6248" w:type="dxa"/>
          </w:tcPr>
          <w:p w:rsidR="00D01D29" w14:paraId="6EF227B0" w14:textId="77777777">
            <w:pPr>
              <w:jc w:val="both"/>
            </w:pPr>
            <w:r>
              <w:t>SECTION 1.  Subchapter C, Chapter 8863, Special District Local Laws Code, is amended by adding Section 8863.106 to read as follows:</w:t>
            </w:r>
          </w:p>
          <w:p w:rsidR="00D01D29" w14:paraId="5AE96AFF" w14:textId="77777777">
            <w:pPr>
              <w:jc w:val="both"/>
            </w:pPr>
            <w:r>
              <w:rPr>
                <w:u w:val="single"/>
              </w:rPr>
              <w:t>Sec. 8863.106.  STUDY.  (a)  The Texas Water Development Board shall conduct a study to:</w:t>
            </w:r>
            <w:r>
              <w:t xml:space="preserve">  [FA1(1)]</w:t>
            </w:r>
          </w:p>
          <w:p w:rsidR="00D01D29" w14:paraId="47BA8D61" w14:textId="77777777">
            <w:pPr>
              <w:jc w:val="both"/>
            </w:pPr>
            <w:r>
              <w:rPr>
                <w:u w:val="single"/>
              </w:rPr>
              <w:t>(1)  analyze the annual maximum amount of groundwater that can be produced in perpetuity in the district from the  aquifers underlying the district's territory without impeding the achievement of the desired future conditions adopted for those aquifers that are applicable to the territory of the district;</w:t>
            </w:r>
          </w:p>
          <w:p w:rsidR="00D01D29" w14:paraId="5ACEACC9" w14:textId="77777777">
            <w:pPr>
              <w:jc w:val="both"/>
            </w:pPr>
            <w:r>
              <w:rPr>
                <w:u w:val="single"/>
              </w:rPr>
              <w:t>(2)  compare the results of the analyses conducted under Subdivision (1) to the amount of modeled available groundwater determined by the executive administrator of the Texas Water Development Board before September 1, 2025, for each aquifer; and</w:t>
            </w:r>
          </w:p>
          <w:p w:rsidR="00D01D29" w14:paraId="45C78019" w14:textId="77777777">
            <w:pPr>
              <w:jc w:val="both"/>
            </w:pPr>
            <w:r>
              <w:rPr>
                <w:u w:val="single"/>
              </w:rPr>
              <w:t>(3)  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w:t>
            </w:r>
          </w:p>
          <w:p w:rsidR="00D01D29" w14:paraId="118A1A33" w14:textId="77777777">
            <w:pPr>
              <w:jc w:val="both"/>
            </w:pPr>
            <w:r>
              <w:rPr>
                <w:u w:val="single"/>
              </w:rPr>
              <w:t>(b)  The hydrological effects assessed under Subsection (a)(3) must include effects on average annual recharge, inflows, discharges, spring flows, capture, and interaction between groundwater and surface water in the district.</w:t>
            </w:r>
          </w:p>
          <w:p w:rsidR="00D01D29" w14:paraId="7A1BC534" w14:textId="77777777">
            <w:pPr>
              <w:jc w:val="both"/>
            </w:pPr>
            <w:r>
              <w:rPr>
                <w:u w:val="single"/>
              </w:rPr>
              <w:t xml:space="preserve">(c)  Not later than January 12, 2027, the Texas Water Development Board shall prepare and submit to the governor, the lieutenant governor, the speaker of the house of </w:t>
            </w:r>
            <w:r>
              <w:rPr>
                <w:u w:val="single"/>
              </w:rPr>
              <w:t>representatives, and each standing legislative committee with primary jurisdiction over groundwater a report on the results of the study conducted under this section.</w:t>
            </w:r>
          </w:p>
          <w:p w:rsidR="00D01D29" w14:paraId="16696251" w14:textId="77777777">
            <w:pPr>
              <w:jc w:val="both"/>
            </w:pPr>
            <w:r>
              <w:rPr>
                <w:u w:val="single"/>
              </w:rPr>
              <w:t>(d)</w:t>
            </w:r>
            <w:r>
              <w:t xml:space="preserve">  [Deleted by FA1(2)]</w:t>
            </w:r>
          </w:p>
          <w:p w:rsidR="00AD48C7" w14:paraId="2ED1C6A3" w14:textId="77777777">
            <w:pPr>
              <w:jc w:val="both"/>
              <w:rPr>
                <w:u w:val="single"/>
              </w:rPr>
            </w:pPr>
          </w:p>
          <w:p w:rsidR="00AD48C7" w14:paraId="5A73BDDD" w14:textId="77777777">
            <w:pPr>
              <w:jc w:val="both"/>
              <w:rPr>
                <w:u w:val="single"/>
              </w:rPr>
            </w:pPr>
          </w:p>
          <w:p w:rsidR="00AD48C7" w14:paraId="4825587C" w14:textId="77777777">
            <w:pPr>
              <w:jc w:val="both"/>
              <w:rPr>
                <w:u w:val="single"/>
              </w:rPr>
            </w:pPr>
          </w:p>
          <w:p w:rsidR="00AD48C7" w14:paraId="0200C411" w14:textId="77777777">
            <w:pPr>
              <w:jc w:val="both"/>
              <w:rPr>
                <w:u w:val="single"/>
              </w:rPr>
            </w:pPr>
          </w:p>
          <w:p w:rsidR="00D01D29" w14:paraId="63ED6BCE" w14:textId="5BC07977">
            <w:pPr>
              <w:jc w:val="both"/>
            </w:pPr>
            <w:r>
              <w:rPr>
                <w:u w:val="single"/>
              </w:rPr>
              <w:t>(d)  This section expires November 1, 2027.</w:t>
            </w:r>
            <w:r>
              <w:t xml:space="preserve">  [FA1(3)]</w:t>
            </w:r>
          </w:p>
          <w:p w:rsidR="00D01D29" w14:paraId="264DA863" w14:textId="77777777">
            <w:pPr>
              <w:jc w:val="both"/>
            </w:pPr>
          </w:p>
        </w:tc>
        <w:tc>
          <w:tcPr>
            <w:tcW w:w="6244" w:type="dxa"/>
          </w:tcPr>
          <w:p w:rsidR="00D01D29" w14:paraId="0C419CAF" w14:textId="77777777">
            <w:pPr>
              <w:jc w:val="both"/>
            </w:pPr>
          </w:p>
        </w:tc>
      </w:tr>
      <w:tr w14:paraId="63E24D24" w14:textId="77777777" w:rsidTr="00AD48C7">
        <w:tblPrEx>
          <w:tblW w:w="4820" w:type="pct"/>
          <w:tblInd w:w="6" w:type="dxa"/>
          <w:tblLayout w:type="fixed"/>
          <w:tblCellMar>
            <w:left w:w="0" w:type="dxa"/>
            <w:bottom w:w="288" w:type="dxa"/>
            <w:right w:w="720" w:type="dxa"/>
          </w:tblCellMar>
          <w:tblLook w:val="01E0"/>
        </w:tblPrEx>
        <w:tc>
          <w:tcPr>
            <w:tcW w:w="6248" w:type="dxa"/>
          </w:tcPr>
          <w:p w:rsidR="00D01D29" w14:paraId="33413732" w14:textId="77777777">
            <w:pPr>
              <w:jc w:val="both"/>
            </w:pPr>
            <w:r>
              <w:t>SECTION 2.  Section 8863.106(d), Special District Local Laws Code, as added by this Act, does not apply to a permit or a permit amendment issued by the Neches and Trinity Valleys Groundwater Conservation District before the effective date of this Act.</w:t>
            </w:r>
          </w:p>
          <w:p w:rsidR="00D01D29" w14:paraId="67EF5938" w14:textId="77777777">
            <w:pPr>
              <w:jc w:val="both"/>
            </w:pPr>
          </w:p>
        </w:tc>
        <w:tc>
          <w:tcPr>
            <w:tcW w:w="6248" w:type="dxa"/>
          </w:tcPr>
          <w:p w:rsidR="00D01D29" w14:paraId="643EB44D" w14:textId="17A7BC3C">
            <w:pPr>
              <w:jc w:val="both"/>
            </w:pPr>
            <w:r w:rsidRPr="00AD48C7">
              <w:rPr>
                <w:highlight w:val="lightGray"/>
              </w:rPr>
              <w:t>No equivalent provision.</w:t>
            </w:r>
            <w:r>
              <w:t xml:space="preserve"> SECTION 2.   [Deleted by FA1(4)]</w:t>
            </w:r>
          </w:p>
          <w:p w:rsidR="00D01D29" w14:paraId="5497CA95" w14:textId="77777777">
            <w:pPr>
              <w:jc w:val="both"/>
            </w:pPr>
          </w:p>
        </w:tc>
        <w:tc>
          <w:tcPr>
            <w:tcW w:w="6244" w:type="dxa"/>
          </w:tcPr>
          <w:p w:rsidR="00D01D29" w14:paraId="5E43A373" w14:textId="77777777">
            <w:pPr>
              <w:jc w:val="both"/>
            </w:pPr>
          </w:p>
        </w:tc>
      </w:tr>
      <w:tr w14:paraId="68EDC45A" w14:textId="77777777" w:rsidTr="00AD48C7">
        <w:tblPrEx>
          <w:tblW w:w="4820" w:type="pct"/>
          <w:tblInd w:w="6" w:type="dxa"/>
          <w:tblLayout w:type="fixed"/>
          <w:tblCellMar>
            <w:left w:w="0" w:type="dxa"/>
            <w:bottom w:w="288" w:type="dxa"/>
            <w:right w:w="720" w:type="dxa"/>
          </w:tblCellMar>
          <w:tblLook w:val="01E0"/>
        </w:tblPrEx>
        <w:tc>
          <w:tcPr>
            <w:tcW w:w="6248" w:type="dxa"/>
          </w:tcPr>
          <w:p w:rsidR="00D01D29" w14:paraId="0B92F2D5" w14:textId="77777777">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D01D29" w14:paraId="1F7A8C61" w14:textId="77777777">
            <w:pPr>
              <w:jc w:val="both"/>
            </w:pPr>
          </w:p>
        </w:tc>
        <w:tc>
          <w:tcPr>
            <w:tcW w:w="6248" w:type="dxa"/>
          </w:tcPr>
          <w:p w:rsidR="00D01D29" w14:paraId="3B682527" w14:textId="77777777">
            <w:pPr>
              <w:jc w:val="both"/>
            </w:pPr>
            <w:r>
              <w:t>SECTION 3. Same as House version.</w:t>
            </w:r>
          </w:p>
          <w:p w:rsidR="00D01D29" w14:paraId="256620B0" w14:textId="77777777">
            <w:pPr>
              <w:jc w:val="both"/>
            </w:pPr>
          </w:p>
          <w:p w:rsidR="00D01D29" w14:paraId="5A00B968" w14:textId="77777777">
            <w:pPr>
              <w:jc w:val="both"/>
            </w:pPr>
          </w:p>
        </w:tc>
        <w:tc>
          <w:tcPr>
            <w:tcW w:w="6244" w:type="dxa"/>
          </w:tcPr>
          <w:p w:rsidR="00D01D29" w14:paraId="68D5B0D5" w14:textId="77777777">
            <w:pPr>
              <w:jc w:val="both"/>
            </w:pPr>
          </w:p>
        </w:tc>
      </w:tr>
    </w:tbl>
    <w:p w:rsidR="00AB3EFE" w14:paraId="04929CE5" w14:textId="77777777"/>
    <w:sectPr w:rsidSect="00D01D29">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E93" w14:paraId="5B43BB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1D29" w14:paraId="1365098E" w14:textId="404F0524">
    <w:pPr>
      <w:tabs>
        <w:tab w:val="center" w:pos="9360"/>
        <w:tab w:val="right" w:pos="18720"/>
      </w:tabs>
    </w:pPr>
    <w:r>
      <w:fldChar w:fldCharType="begin"/>
    </w:r>
    <w:r>
      <w:instrText xml:space="preserve"> DOCPROPERTY  CCRF  \* MERGEFORMAT </w:instrText>
    </w:r>
    <w:r>
      <w:fldChar w:fldCharType="separate"/>
    </w:r>
    <w:r w:rsidR="00BA3E93">
      <w:t xml:space="preserve"> </w:t>
    </w:r>
    <w:r>
      <w:fldChar w:fldCharType="end"/>
    </w:r>
    <w:r w:rsidR="00AB3EFE">
      <w:tab/>
    </w:r>
    <w:r>
      <w:fldChar w:fldCharType="begin"/>
    </w:r>
    <w:r w:rsidR="00AB3EFE">
      <w:instrText xml:space="preserve"> PAGE </w:instrText>
    </w:r>
    <w:r>
      <w:fldChar w:fldCharType="separate"/>
    </w:r>
    <w:r w:rsidR="00AB3EFE">
      <w:t>2</w:t>
    </w:r>
    <w:r>
      <w:fldChar w:fldCharType="end"/>
    </w:r>
    <w:r w:rsidR="00AB3EFE">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E93" w14:paraId="750055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E93" w14:paraId="50291A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E93" w14:paraId="0CEF4C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E93" w14:paraId="373992A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29"/>
    <w:rsid w:val="000B167A"/>
    <w:rsid w:val="001F788F"/>
    <w:rsid w:val="00367B95"/>
    <w:rsid w:val="007E077A"/>
    <w:rsid w:val="00AB3EFE"/>
    <w:rsid w:val="00AD48C7"/>
    <w:rsid w:val="00BA3E93"/>
    <w:rsid w:val="00D01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19E036E-890B-42F4-954C-AD071FF6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2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E93"/>
    <w:pPr>
      <w:tabs>
        <w:tab w:val="center" w:pos="4680"/>
        <w:tab w:val="right" w:pos="9360"/>
      </w:tabs>
    </w:pPr>
  </w:style>
  <w:style w:type="character" w:customStyle="1" w:styleId="HeaderChar">
    <w:name w:val="Header Char"/>
    <w:basedOn w:val="DefaultParagraphFont"/>
    <w:link w:val="Header"/>
    <w:uiPriority w:val="99"/>
    <w:rsid w:val="00BA3E93"/>
    <w:rPr>
      <w:sz w:val="22"/>
    </w:rPr>
  </w:style>
  <w:style w:type="paragraph" w:styleId="Footer">
    <w:name w:val="footer"/>
    <w:basedOn w:val="Normal"/>
    <w:link w:val="FooterChar"/>
    <w:uiPriority w:val="99"/>
    <w:unhideWhenUsed/>
    <w:rsid w:val="00BA3E93"/>
    <w:pPr>
      <w:tabs>
        <w:tab w:val="center" w:pos="4680"/>
        <w:tab w:val="right" w:pos="9360"/>
      </w:tabs>
    </w:pPr>
  </w:style>
  <w:style w:type="character" w:customStyle="1" w:styleId="FooterChar">
    <w:name w:val="Footer Char"/>
    <w:basedOn w:val="DefaultParagraphFont"/>
    <w:link w:val="Footer"/>
    <w:uiPriority w:val="99"/>
    <w:rsid w:val="00BA3E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1</TotalTime>
  <Pages>2</Pages>
  <Words>767</Words>
  <Characters>4238</Characters>
  <Application>Microsoft Office Word</Application>
  <DocSecurity>0</DocSecurity>
  <Lines>114</Lines>
  <Paragraphs>33</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HB27-SAA</dc:title>
  <dc:creator>Susan McLane</dc:creator>
  <cp:lastModifiedBy>Chandler Lewis</cp:lastModifiedBy>
  <cp:revision>2</cp:revision>
  <dcterms:created xsi:type="dcterms:W3CDTF">2025-09-03T01:54:00Z</dcterms:created>
  <dcterms:modified xsi:type="dcterms:W3CDTF">2025-09-03T01:54:00Z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