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015BB" w14:paraId="70B0F333" w14:textId="77777777" w:rsidTr="00345119">
        <w:tc>
          <w:tcPr>
            <w:tcW w:w="9576" w:type="dxa"/>
            <w:noWrap/>
          </w:tcPr>
          <w:p w14:paraId="11AE8F02" w14:textId="77777777" w:rsidR="008423E4" w:rsidRPr="0022177D" w:rsidRDefault="00D26CB6" w:rsidP="000F503D">
            <w:pPr>
              <w:pStyle w:val="Heading1"/>
            </w:pPr>
            <w:r w:rsidRPr="00631897">
              <w:t>BILL ANALYSIS</w:t>
            </w:r>
          </w:p>
        </w:tc>
      </w:tr>
    </w:tbl>
    <w:p w14:paraId="4F6EE390" w14:textId="77777777" w:rsidR="008423E4" w:rsidRPr="0022177D" w:rsidRDefault="008423E4" w:rsidP="000F503D">
      <w:pPr>
        <w:jc w:val="center"/>
      </w:pPr>
    </w:p>
    <w:p w14:paraId="6C1CE4D9" w14:textId="77777777" w:rsidR="008423E4" w:rsidRPr="00B31F0E" w:rsidRDefault="008423E4" w:rsidP="000F503D"/>
    <w:p w14:paraId="2B845B5C" w14:textId="77777777" w:rsidR="008423E4" w:rsidRPr="00742794" w:rsidRDefault="008423E4" w:rsidP="000F503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015BB" w14:paraId="2BBDAC4B" w14:textId="77777777" w:rsidTr="00345119">
        <w:tc>
          <w:tcPr>
            <w:tcW w:w="9576" w:type="dxa"/>
          </w:tcPr>
          <w:p w14:paraId="0FB19C16" w14:textId="34D62F8F" w:rsidR="008423E4" w:rsidRPr="00861995" w:rsidRDefault="00D26CB6" w:rsidP="000F503D">
            <w:pPr>
              <w:jc w:val="right"/>
            </w:pPr>
            <w:r>
              <w:t>H.B. 29</w:t>
            </w:r>
          </w:p>
        </w:tc>
      </w:tr>
      <w:tr w:rsidR="001015BB" w14:paraId="38E652E4" w14:textId="77777777" w:rsidTr="00345119">
        <w:tc>
          <w:tcPr>
            <w:tcW w:w="9576" w:type="dxa"/>
          </w:tcPr>
          <w:p w14:paraId="26878AD8" w14:textId="1ED97B87" w:rsidR="008423E4" w:rsidRPr="00861995" w:rsidRDefault="00D26CB6" w:rsidP="000F503D">
            <w:pPr>
              <w:jc w:val="right"/>
            </w:pPr>
            <w:r>
              <w:t xml:space="preserve">By: </w:t>
            </w:r>
            <w:r w:rsidR="00D907EA">
              <w:t>Gerdes</w:t>
            </w:r>
          </w:p>
        </w:tc>
      </w:tr>
      <w:tr w:rsidR="001015BB" w14:paraId="5A13D4B9" w14:textId="77777777" w:rsidTr="00345119">
        <w:tc>
          <w:tcPr>
            <w:tcW w:w="9576" w:type="dxa"/>
          </w:tcPr>
          <w:p w14:paraId="7706C72C" w14:textId="4561B5BE" w:rsidR="008423E4" w:rsidRPr="00861995" w:rsidRDefault="00D26CB6" w:rsidP="000F503D">
            <w:pPr>
              <w:jc w:val="right"/>
            </w:pPr>
            <w:r>
              <w:t>Natural Resources</w:t>
            </w:r>
          </w:p>
        </w:tc>
      </w:tr>
      <w:tr w:rsidR="001015BB" w14:paraId="0BEC4868" w14:textId="77777777" w:rsidTr="00345119">
        <w:tc>
          <w:tcPr>
            <w:tcW w:w="9576" w:type="dxa"/>
          </w:tcPr>
          <w:p w14:paraId="45D4B338" w14:textId="0428E2D7" w:rsidR="008423E4" w:rsidRDefault="00D26CB6" w:rsidP="000F503D">
            <w:pPr>
              <w:jc w:val="right"/>
            </w:pPr>
            <w:r>
              <w:t>Committee Report (Unamended)</w:t>
            </w:r>
          </w:p>
        </w:tc>
      </w:tr>
    </w:tbl>
    <w:p w14:paraId="02A28830" w14:textId="77777777" w:rsidR="008423E4" w:rsidRDefault="008423E4" w:rsidP="000F503D">
      <w:pPr>
        <w:tabs>
          <w:tab w:val="right" w:pos="9360"/>
        </w:tabs>
      </w:pPr>
    </w:p>
    <w:p w14:paraId="304F5B13" w14:textId="77777777" w:rsidR="008423E4" w:rsidRDefault="008423E4" w:rsidP="000F503D"/>
    <w:p w14:paraId="6F65C63D" w14:textId="77777777" w:rsidR="008423E4" w:rsidRDefault="008423E4" w:rsidP="000F503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015BB" w14:paraId="14221EC7" w14:textId="77777777" w:rsidTr="00345119">
        <w:tc>
          <w:tcPr>
            <w:tcW w:w="9576" w:type="dxa"/>
          </w:tcPr>
          <w:p w14:paraId="2E72F6F1" w14:textId="77777777" w:rsidR="008423E4" w:rsidRPr="00A8133F" w:rsidRDefault="00D26CB6" w:rsidP="000F503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783ADE" w14:textId="77777777" w:rsidR="008423E4" w:rsidRDefault="008423E4" w:rsidP="000F503D"/>
          <w:p w14:paraId="1E771CC9" w14:textId="2D765723" w:rsidR="008423E4" w:rsidRDefault="00D26CB6" w:rsidP="000F503D">
            <w:pPr>
              <w:pStyle w:val="Header"/>
              <w:jc w:val="both"/>
            </w:pPr>
            <w:r>
              <w:t>The bill author has informed the committee that large municipally</w:t>
            </w:r>
            <w:r w:rsidR="0029481E">
              <w:t xml:space="preserve"> </w:t>
            </w:r>
            <w:r>
              <w:t>owned utilities are losing an excessiv</w:t>
            </w:r>
            <w:r w:rsidR="004E1456">
              <w:t>e</w:t>
            </w:r>
            <w:r>
              <w:t xml:space="preserve"> amount of water through their infrastructure. According </w:t>
            </w:r>
            <w:r w:rsidR="00A425C1">
              <w:t xml:space="preserve">to </w:t>
            </w:r>
            <w:r>
              <w:t xml:space="preserve">a </w:t>
            </w:r>
            <w:r w:rsidRPr="000F503D">
              <w:rPr>
                <w:i/>
                <w:iCs/>
              </w:rPr>
              <w:t>Texas Tribune</w:t>
            </w:r>
            <w:r>
              <w:t xml:space="preserve"> article, 88</w:t>
            </w:r>
            <w:r w:rsidR="009500BF">
              <w:t> </w:t>
            </w:r>
            <w:r>
              <w:t xml:space="preserve">billion gallons of water </w:t>
            </w:r>
            <w:r w:rsidRPr="006720EB">
              <w:t>were lost in Texas</w:t>
            </w:r>
            <w:r w:rsidR="00F6605C">
              <w:t>'</w:t>
            </w:r>
            <w:r w:rsidRPr="006720EB">
              <w:t xml:space="preserve"> most populous cities</w:t>
            </w:r>
            <w:r>
              <w:t xml:space="preserve"> in 2023. The bill author has </w:t>
            </w:r>
            <w:r w:rsidR="004E1456">
              <w:t xml:space="preserve">further </w:t>
            </w:r>
            <w:r>
              <w:t>informed the committee that his constituents in H</w:t>
            </w:r>
            <w:r w:rsidR="0061149F">
              <w:t xml:space="preserve">ouse </w:t>
            </w:r>
            <w:r>
              <w:t>D</w:t>
            </w:r>
            <w:r w:rsidR="0061149F">
              <w:t>istrict</w:t>
            </w:r>
            <w:r>
              <w:t xml:space="preserve"> </w:t>
            </w:r>
            <w:r w:rsidR="00481C15">
              <w:t xml:space="preserve">17 </w:t>
            </w:r>
            <w:r>
              <w:t xml:space="preserve">are concerned </w:t>
            </w:r>
            <w:r w:rsidR="00481C15">
              <w:t>about</w:t>
            </w:r>
            <w:r w:rsidR="0061149F">
              <w:t xml:space="preserve"> the</w:t>
            </w:r>
            <w:r>
              <w:t xml:space="preserve"> billions of gallons of water </w:t>
            </w:r>
            <w:r w:rsidR="0061149F">
              <w:t xml:space="preserve">that </w:t>
            </w:r>
            <w:r>
              <w:t>are pumped annually from the district to San Antonio</w:t>
            </w:r>
            <w:r w:rsidR="0061149F">
              <w:t>, whose w</w:t>
            </w:r>
            <w:r>
              <w:t xml:space="preserve">ater </w:t>
            </w:r>
            <w:r w:rsidR="0061149F">
              <w:t>s</w:t>
            </w:r>
            <w:r>
              <w:t>ystem</w:t>
            </w:r>
            <w:r w:rsidR="0061149F">
              <w:t xml:space="preserve"> loses</w:t>
            </w:r>
            <w:r>
              <w:t xml:space="preserve"> 21 billion gallons of water</w:t>
            </w:r>
            <w:r w:rsidR="0061149F">
              <w:t xml:space="preserve"> per year</w:t>
            </w:r>
            <w:r>
              <w:t xml:space="preserve"> due to leaks</w:t>
            </w:r>
            <w:r w:rsidR="0061149F">
              <w:t>, breaks, and other issues</w:t>
            </w:r>
            <w:r w:rsidR="00A425C1">
              <w:t>,</w:t>
            </w:r>
            <w:r w:rsidR="0061149F">
              <w:t xml:space="preserve"> </w:t>
            </w:r>
            <w:r w:rsidR="00A425C1">
              <w:t>as reported by</w:t>
            </w:r>
            <w:r w:rsidR="0061149F">
              <w:t xml:space="preserve"> the </w:t>
            </w:r>
            <w:r w:rsidR="0061149F" w:rsidRPr="000F503D">
              <w:rPr>
                <w:i/>
                <w:iCs/>
              </w:rPr>
              <w:t>San Antonio Express-News</w:t>
            </w:r>
            <w:r w:rsidR="0061149F">
              <w:t xml:space="preserve">. H.B. 29 seeks to address this issue by </w:t>
            </w:r>
            <w:r w:rsidR="006C4DA4" w:rsidRPr="006C4DA4">
              <w:t>requir</w:t>
            </w:r>
            <w:r w:rsidR="006C4DA4">
              <w:t>ing</w:t>
            </w:r>
            <w:r w:rsidR="006C4DA4" w:rsidRPr="006C4DA4">
              <w:t xml:space="preserve"> </w:t>
            </w:r>
            <w:r w:rsidR="004B3633">
              <w:t xml:space="preserve">certain </w:t>
            </w:r>
            <w:r w:rsidR="006C4DA4" w:rsidRPr="006C4DA4">
              <w:t>municipally owned utilit</w:t>
            </w:r>
            <w:r w:rsidR="004B3633">
              <w:t xml:space="preserve">ies </w:t>
            </w:r>
            <w:r w:rsidR="006C4DA4" w:rsidRPr="006C4DA4">
              <w:t>that ha</w:t>
            </w:r>
            <w:r w:rsidR="004B3633">
              <w:t>ve</w:t>
            </w:r>
            <w:r w:rsidR="006C4DA4" w:rsidRPr="006C4DA4">
              <w:t xml:space="preserve"> filed an annual water audit with the Texas Water Development Board (TWDB) indicating that the utility's real water loss meets or exceeds the threshold established by TWDB rule to </w:t>
            </w:r>
            <w:r w:rsidR="006C4DA4">
              <w:t>take certain corrective actions.</w:t>
            </w:r>
          </w:p>
          <w:p w14:paraId="5A97FF18" w14:textId="77777777" w:rsidR="008423E4" w:rsidRPr="00E26B13" w:rsidRDefault="008423E4" w:rsidP="000F503D">
            <w:pPr>
              <w:rPr>
                <w:b/>
              </w:rPr>
            </w:pPr>
          </w:p>
        </w:tc>
      </w:tr>
      <w:tr w:rsidR="001015BB" w14:paraId="481313E2" w14:textId="77777777" w:rsidTr="00345119">
        <w:tc>
          <w:tcPr>
            <w:tcW w:w="9576" w:type="dxa"/>
          </w:tcPr>
          <w:p w14:paraId="7C0370B6" w14:textId="77777777" w:rsidR="0017725B" w:rsidRDefault="00D26CB6" w:rsidP="000F503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07EDB4" w14:textId="77777777" w:rsidR="0017725B" w:rsidRDefault="0017725B" w:rsidP="000F503D">
            <w:pPr>
              <w:rPr>
                <w:b/>
                <w:u w:val="single"/>
              </w:rPr>
            </w:pPr>
          </w:p>
          <w:p w14:paraId="60311AE7" w14:textId="56E201E2" w:rsidR="00C930DF" w:rsidRPr="00C930DF" w:rsidRDefault="00D26CB6" w:rsidP="000F503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77BEBD4" w14:textId="77777777" w:rsidR="0017725B" w:rsidRPr="0017725B" w:rsidRDefault="0017725B" w:rsidP="000F503D">
            <w:pPr>
              <w:rPr>
                <w:b/>
                <w:u w:val="single"/>
              </w:rPr>
            </w:pPr>
          </w:p>
        </w:tc>
      </w:tr>
      <w:tr w:rsidR="001015BB" w14:paraId="54A8A33E" w14:textId="77777777" w:rsidTr="00345119">
        <w:tc>
          <w:tcPr>
            <w:tcW w:w="9576" w:type="dxa"/>
          </w:tcPr>
          <w:p w14:paraId="1EEEA636" w14:textId="77777777" w:rsidR="008423E4" w:rsidRPr="00A8133F" w:rsidRDefault="00D26CB6" w:rsidP="000F503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6B28AE" w14:textId="77777777" w:rsidR="008423E4" w:rsidRDefault="008423E4" w:rsidP="000F503D"/>
          <w:p w14:paraId="753A7F5E" w14:textId="603537ED" w:rsidR="00C930DF" w:rsidRDefault="00D26CB6" w:rsidP="000F50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99001F9" w14:textId="77777777" w:rsidR="008423E4" w:rsidRPr="00E21FDC" w:rsidRDefault="008423E4" w:rsidP="000F503D">
            <w:pPr>
              <w:rPr>
                <w:b/>
              </w:rPr>
            </w:pPr>
          </w:p>
        </w:tc>
      </w:tr>
      <w:tr w:rsidR="001015BB" w14:paraId="3F648277" w14:textId="77777777" w:rsidTr="00345119">
        <w:tc>
          <w:tcPr>
            <w:tcW w:w="9576" w:type="dxa"/>
          </w:tcPr>
          <w:p w14:paraId="648B700A" w14:textId="77777777" w:rsidR="008423E4" w:rsidRPr="00A8133F" w:rsidRDefault="00D26CB6" w:rsidP="000F503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562CC3" w14:textId="77777777" w:rsidR="008423E4" w:rsidRDefault="008423E4" w:rsidP="000F503D"/>
          <w:p w14:paraId="29EE7402" w14:textId="2D2B167D" w:rsidR="00976A62" w:rsidRDefault="00D26CB6" w:rsidP="000F50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021AD0">
              <w:t>29</w:t>
            </w:r>
            <w:r>
              <w:t xml:space="preserve"> amends the </w:t>
            </w:r>
            <w:r w:rsidRPr="00976A62">
              <w:t>Water Code</w:t>
            </w:r>
            <w:r>
              <w:t xml:space="preserve"> to require a</w:t>
            </w:r>
            <w:r w:rsidRPr="00976A62">
              <w:t xml:space="preserve"> municipally owned utility</w:t>
            </w:r>
            <w:r>
              <w:t xml:space="preserve">, </w:t>
            </w:r>
            <w:r w:rsidRPr="00AF4864">
              <w:t>defined by reference</w:t>
            </w:r>
            <w:r>
              <w:t xml:space="preserve"> to provisions relating to water rates and services, that provides potable water through more than 150,000 service connections and that has filed an annual water audit with the </w:t>
            </w:r>
            <w:r w:rsidR="00B901A6" w:rsidRPr="00B901A6">
              <w:t>Texas Water Development Board (TWDB)</w:t>
            </w:r>
            <w:r>
              <w:t xml:space="preserve"> indicating that the utility's real water loss meets or exceeds the threshold established by</w:t>
            </w:r>
            <w:r w:rsidR="00B901A6">
              <w:t xml:space="preserve"> TWDB</w:t>
            </w:r>
            <w:r>
              <w:t xml:space="preserve"> rule</w:t>
            </w:r>
            <w:r w:rsidR="00B901A6">
              <w:t xml:space="preserve"> to do the following</w:t>
            </w:r>
            <w:r>
              <w:t>:</w:t>
            </w:r>
          </w:p>
          <w:p w14:paraId="65A6F724" w14:textId="4515C0A4" w:rsidR="00976A62" w:rsidRDefault="00D26CB6" w:rsidP="000F50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not later than the 180th day after the date the audit was filed, complete a validation of the audit to ensure the utility accurately assessed potential </w:t>
            </w:r>
            <w:r>
              <w:t>inaccuracies in data used in the audit;</w:t>
            </w:r>
          </w:p>
          <w:p w14:paraId="0526AAA6" w14:textId="0F2ACC85" w:rsidR="00976A62" w:rsidRDefault="00D26CB6" w:rsidP="000F50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not later than the first anniversary of the date the audit was filed, develop and submit to the </w:t>
            </w:r>
            <w:r w:rsidR="00B901A6">
              <w:t>TWDB</w:t>
            </w:r>
            <w:r>
              <w:t xml:space="preserve"> a water loss mitigation plan</w:t>
            </w:r>
            <w:r w:rsidR="00B901A6">
              <w:t>;</w:t>
            </w:r>
            <w:r w:rsidR="0086631C">
              <w:t xml:space="preserve"> and</w:t>
            </w:r>
          </w:p>
          <w:p w14:paraId="41758617" w14:textId="77777777" w:rsidR="0086631C" w:rsidRDefault="00D26CB6" w:rsidP="000F503D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if the audit indicates </w:t>
            </w:r>
            <w:r w:rsidR="00976A62">
              <w:t>that the utility's real water loss meets or exceeds the threshold for three consecutive audit years</w:t>
            </w:r>
            <w:r>
              <w:t xml:space="preserve">: </w:t>
            </w:r>
          </w:p>
          <w:p w14:paraId="52168B1A" w14:textId="5C3A882C" w:rsidR="00976A62" w:rsidRDefault="00D26CB6" w:rsidP="000F50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complete a more detailed validation of the utility's most current water audit to</w:t>
            </w:r>
            <w:r w:rsidR="0086631C">
              <w:t xml:space="preserve"> </w:t>
            </w:r>
            <w:r>
              <w:t>determine whether the implementation of water leakage reduction strategies is appropriate</w:t>
            </w:r>
            <w:r w:rsidR="009D4756">
              <w:t xml:space="preserve"> and to </w:t>
            </w:r>
            <w:r w:rsidR="009D4756" w:rsidRPr="009D4756">
              <w:t>investigate the accuracy of the utility's billing data</w:t>
            </w:r>
            <w:r>
              <w:t>; and</w:t>
            </w:r>
          </w:p>
          <w:p w14:paraId="3B299910" w14:textId="5AD38230" w:rsidR="00976A62" w:rsidRDefault="00D26CB6" w:rsidP="000F503D">
            <w:pPr>
              <w:pStyle w:val="Header"/>
              <w:numPr>
                <w:ilvl w:val="1"/>
                <w:numId w:val="1"/>
              </w:numPr>
              <w:jc w:val="both"/>
            </w:pPr>
            <w:r>
              <w:t>update the</w:t>
            </w:r>
            <w:r w:rsidR="0086631C">
              <w:t xml:space="preserve"> utility's</w:t>
            </w:r>
            <w:r>
              <w:t xml:space="preserve"> water loss mitigation plan</w:t>
            </w:r>
            <w:r w:rsidR="00440C51">
              <w:t xml:space="preserve"> </w:t>
            </w:r>
            <w:r w:rsidR="00440C51" w:rsidRPr="00440C51">
              <w:t>accordingly</w:t>
            </w:r>
            <w:r>
              <w:t>.</w:t>
            </w:r>
          </w:p>
          <w:p w14:paraId="3149B4F7" w14:textId="77777777" w:rsidR="008404D5" w:rsidRDefault="008404D5" w:rsidP="000F503D">
            <w:pPr>
              <w:pStyle w:val="Header"/>
              <w:jc w:val="both"/>
            </w:pPr>
          </w:p>
          <w:p w14:paraId="289EB910" w14:textId="690A829D" w:rsidR="00045E4D" w:rsidRDefault="00D26CB6" w:rsidP="000F503D">
            <w:pPr>
              <w:pStyle w:val="Header"/>
              <w:jc w:val="both"/>
            </w:pPr>
            <w:r>
              <w:t xml:space="preserve">H.B. </w:t>
            </w:r>
            <w:r w:rsidR="00021AD0">
              <w:t>29</w:t>
            </w:r>
            <w:r w:rsidR="00CB6793">
              <w:t xml:space="preserve"> requires each </w:t>
            </w:r>
            <w:r w:rsidR="00CB6793" w:rsidRPr="00AF4864">
              <w:t xml:space="preserve">audit </w:t>
            </w:r>
            <w:r w:rsidR="00976A62" w:rsidRPr="00AF4864">
              <w:t xml:space="preserve">validation </w:t>
            </w:r>
            <w:r w:rsidR="00CB6793" w:rsidRPr="00AF4864">
              <w:t>regarding the accurate assessment by a utility of potential data inaccuracies</w:t>
            </w:r>
            <w:r w:rsidR="00CB6793">
              <w:t xml:space="preserve"> </w:t>
            </w:r>
            <w:r w:rsidR="002D46FA">
              <w:t>to</w:t>
            </w:r>
            <w:r w:rsidR="00976A62">
              <w:t xml:space="preserve"> be performed by a person who has completed water audit validation training and is certified to conduct the validation. </w:t>
            </w:r>
            <w:r w:rsidR="002D46FA">
              <w:t>The bill requires t</w:t>
            </w:r>
            <w:r w:rsidR="00976A62">
              <w:t>he validation</w:t>
            </w:r>
            <w:r w:rsidR="002D46FA">
              <w:t xml:space="preserve"> to</w:t>
            </w:r>
            <w:r w:rsidR="00976A62">
              <w:t xml:space="preserve"> follow </w:t>
            </w:r>
            <w:r w:rsidR="002D46FA">
              <w:t>TWDB</w:t>
            </w:r>
            <w:r w:rsidR="00976A62">
              <w:t xml:space="preserve"> validation guidelines and</w:t>
            </w:r>
            <w:r w:rsidR="002D46FA">
              <w:t xml:space="preserve"> prohibits the validation </w:t>
            </w:r>
            <w:r w:rsidR="002D46FA" w:rsidRPr="00D00E56">
              <w:t xml:space="preserve">from being </w:t>
            </w:r>
            <w:r w:rsidR="00976A62" w:rsidRPr="00D00E56">
              <w:t>conducted</w:t>
            </w:r>
            <w:r w:rsidR="00976A62">
              <w:t xml:space="preserve"> by a </w:t>
            </w:r>
            <w:r w:rsidR="002D46FA">
              <w:t>TWDB</w:t>
            </w:r>
            <w:r w:rsidR="00976A62">
              <w:t xml:space="preserve"> staff member or the person who submitted the water audit.</w:t>
            </w:r>
            <w:r w:rsidR="002E2586">
              <w:t xml:space="preserve"> </w:t>
            </w:r>
          </w:p>
          <w:p w14:paraId="4F47F0DB" w14:textId="77777777" w:rsidR="00045E4D" w:rsidRDefault="00045E4D" w:rsidP="000F503D">
            <w:pPr>
              <w:pStyle w:val="Header"/>
              <w:jc w:val="both"/>
            </w:pPr>
          </w:p>
          <w:p w14:paraId="3CA2B0E0" w14:textId="5341ACA2" w:rsidR="00976A62" w:rsidRDefault="00D26CB6" w:rsidP="000F503D">
            <w:pPr>
              <w:pStyle w:val="Header"/>
              <w:jc w:val="both"/>
            </w:pPr>
            <w:r>
              <w:t xml:space="preserve">H.B. </w:t>
            </w:r>
            <w:r w:rsidR="00021AD0">
              <w:t>29</w:t>
            </w:r>
            <w:r w:rsidR="002D46FA">
              <w:t xml:space="preserve"> requires e</w:t>
            </w:r>
            <w:r>
              <w:t xml:space="preserve">ach water loss mitigation plan, as </w:t>
            </w:r>
            <w:r w:rsidRPr="00D00E56">
              <w:t>updated if applicable</w:t>
            </w:r>
            <w:r>
              <w:t xml:space="preserve">, </w:t>
            </w:r>
            <w:r w:rsidR="002D46FA">
              <w:t>to</w:t>
            </w:r>
            <w:r>
              <w:t xml:space="preserve"> be incorporated into the utility's most recent water conservation plan not later than the first anniversary of the date the mitigation plan is completed. </w:t>
            </w:r>
            <w:r w:rsidR="007F4D21">
              <w:t>The bill requires the utility, a</w:t>
            </w:r>
            <w:r>
              <w:t xml:space="preserve">s part of </w:t>
            </w:r>
            <w:r w:rsidR="007F4D21">
              <w:t>it</w:t>
            </w:r>
            <w:r>
              <w:t xml:space="preserve">s annual water conservation report, </w:t>
            </w:r>
            <w:r w:rsidR="007F4D21">
              <w:t>to</w:t>
            </w:r>
            <w:r>
              <w:t xml:space="preserve"> report the utility's progress in implementing the mitigation plan. </w:t>
            </w:r>
            <w:r w:rsidR="007F4D21">
              <w:t>The bill requires t</w:t>
            </w:r>
            <w:r>
              <w:t xml:space="preserve">he mitigation plan </w:t>
            </w:r>
            <w:r w:rsidR="007F4D21">
              <w:t>to</w:t>
            </w:r>
            <w:r>
              <w:t xml:space="preserve"> include</w:t>
            </w:r>
            <w:r w:rsidR="007F4D21">
              <w:t xml:space="preserve"> the following</w:t>
            </w:r>
            <w:r>
              <w:t>:</w:t>
            </w:r>
          </w:p>
          <w:p w14:paraId="65C826ED" w14:textId="044627B0" w:rsidR="00976A62" w:rsidRDefault="00D26CB6" w:rsidP="000F503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one-year, three-year, five-year, and ten-year goals for </w:t>
            </w:r>
            <w:r>
              <w:t>water loss mitigation;</w:t>
            </w:r>
          </w:p>
          <w:p w14:paraId="36BAEEB3" w14:textId="0F5A965F" w:rsidR="00976A62" w:rsidRDefault="00D26CB6" w:rsidP="000F503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descriptions of water loss mitigation projects or programs designed to meet those goals;</w:t>
            </w:r>
          </w:p>
          <w:p w14:paraId="253A66D7" w14:textId="1DB19032" w:rsidR="00976A62" w:rsidRDefault="00D26CB6" w:rsidP="000F503D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estimated financial savings </w:t>
            </w:r>
            <w:r w:rsidR="00045E4D">
              <w:t xml:space="preserve">and water savings </w:t>
            </w:r>
            <w:r>
              <w:t xml:space="preserve">from the implementation of </w:t>
            </w:r>
            <w:r w:rsidR="007F4D21">
              <w:t>the</w:t>
            </w:r>
            <w:r>
              <w:t xml:space="preserve"> projects or programs; and</w:t>
            </w:r>
          </w:p>
          <w:p w14:paraId="1BE5681C" w14:textId="76BB079C" w:rsidR="00976A62" w:rsidRDefault="00D26CB6" w:rsidP="000F503D">
            <w:pPr>
              <w:pStyle w:val="Header"/>
              <w:numPr>
                <w:ilvl w:val="0"/>
                <w:numId w:val="2"/>
              </w:numPr>
              <w:jc w:val="both"/>
            </w:pPr>
            <w:r>
              <w:t>cost estimates for implementing each project or program.</w:t>
            </w:r>
          </w:p>
          <w:p w14:paraId="191AA64F" w14:textId="77777777" w:rsidR="008404D5" w:rsidRDefault="008404D5" w:rsidP="000F503D">
            <w:pPr>
              <w:pStyle w:val="Header"/>
              <w:jc w:val="both"/>
            </w:pPr>
          </w:p>
          <w:p w14:paraId="7606A2D2" w14:textId="19889666" w:rsidR="008404D5" w:rsidRDefault="00D26CB6" w:rsidP="000F503D">
            <w:pPr>
              <w:pStyle w:val="Header"/>
              <w:jc w:val="both"/>
            </w:pPr>
            <w:r>
              <w:t xml:space="preserve">H.B. </w:t>
            </w:r>
            <w:r w:rsidR="00021AD0">
              <w:t>29</w:t>
            </w:r>
            <w:r w:rsidR="002E2586">
              <w:t xml:space="preserve"> requires a utility th</w:t>
            </w:r>
            <w:r w:rsidR="002E2586" w:rsidRPr="00A464FA">
              <w:t>at is required to</w:t>
            </w:r>
            <w:r w:rsidR="00976A62" w:rsidRPr="00A464FA">
              <w:t xml:space="preserve"> complete </w:t>
            </w:r>
            <w:r w:rsidR="002E2586" w:rsidRPr="00A464FA">
              <w:t>the more detailed</w:t>
            </w:r>
            <w:r w:rsidR="00976A62" w:rsidRPr="00A464FA">
              <w:t xml:space="preserve"> validation</w:t>
            </w:r>
            <w:r w:rsidR="002E2586" w:rsidRPr="00A464FA">
              <w:t xml:space="preserve"> of its most current water audit</w:t>
            </w:r>
            <w:r w:rsidR="002E2586">
              <w:t xml:space="preserve"> to</w:t>
            </w:r>
            <w:r w:rsidR="00976A62">
              <w:t xml:space="preserve"> update </w:t>
            </w:r>
            <w:r w:rsidR="002E2586">
              <w:t>its</w:t>
            </w:r>
            <w:r w:rsidR="00976A62">
              <w:t xml:space="preserve"> water loss mitigation plan </w:t>
            </w:r>
            <w:r w:rsidR="00976A62" w:rsidRPr="00A464FA">
              <w:t xml:space="preserve">to revise the </w:t>
            </w:r>
            <w:r w:rsidR="00976A62">
              <w:t>one-year, three-year, five-year, and ten-year goals.</w:t>
            </w:r>
            <w:r w:rsidR="002E2586">
              <w:t xml:space="preserve"> The bill requires e</w:t>
            </w:r>
            <w:r w:rsidR="00976A62">
              <w:t>ach</w:t>
            </w:r>
            <w:r w:rsidR="002E2586">
              <w:t xml:space="preserve"> such</w:t>
            </w:r>
            <w:r w:rsidR="00976A62">
              <w:t xml:space="preserve"> validation</w:t>
            </w:r>
            <w:r w:rsidR="002E2586">
              <w:t xml:space="preserve"> to</w:t>
            </w:r>
            <w:r w:rsidR="00976A62">
              <w:t xml:space="preserve"> be performed by a person who is experienced in performing required validation activities</w:t>
            </w:r>
            <w:r w:rsidR="00A464FA">
              <w:t xml:space="preserve"> and</w:t>
            </w:r>
            <w:r w:rsidR="002E2586">
              <w:t xml:space="preserve"> prohibits the validation </w:t>
            </w:r>
            <w:r w:rsidR="002E2586" w:rsidRPr="00A464FA">
              <w:t>from being conducted</w:t>
            </w:r>
            <w:r w:rsidR="002E2586" w:rsidRPr="002E2586">
              <w:t xml:space="preserve"> by a </w:t>
            </w:r>
            <w:r w:rsidR="002E2586">
              <w:t>TWDB</w:t>
            </w:r>
            <w:r w:rsidR="002E2586" w:rsidRPr="002E2586">
              <w:t xml:space="preserve"> staff member or the person who submitted the water audit</w:t>
            </w:r>
            <w:r w:rsidR="00A464FA">
              <w:t>. The bill additionally</w:t>
            </w:r>
            <w:r w:rsidR="002E2586">
              <w:t xml:space="preserve"> </w:t>
            </w:r>
            <w:r w:rsidR="009A133B" w:rsidRPr="00A464FA">
              <w:t xml:space="preserve">requires the </w:t>
            </w:r>
            <w:r w:rsidR="00976A62" w:rsidRPr="00A464FA">
              <w:t>validation</w:t>
            </w:r>
            <w:r w:rsidR="009A133B">
              <w:t xml:space="preserve"> to </w:t>
            </w:r>
            <w:r w:rsidR="00976A62">
              <w:t xml:space="preserve">be based on the recommendations from </w:t>
            </w:r>
            <w:r w:rsidR="00976A62" w:rsidRPr="00AF4864">
              <w:t xml:space="preserve">the utility's </w:t>
            </w:r>
            <w:r w:rsidR="009A133B" w:rsidRPr="00AF4864">
              <w:t>audit validation regarding the accurate assessment of potential data inaccuracies</w:t>
            </w:r>
            <w:r w:rsidR="009A133B">
              <w:t xml:space="preserve">, </w:t>
            </w:r>
            <w:r w:rsidR="00976A62">
              <w:t>be completed in consultation with the person who completed th</w:t>
            </w:r>
            <w:r w:rsidR="009A133B">
              <w:t>at</w:t>
            </w:r>
            <w:r w:rsidR="00976A62">
              <w:t xml:space="preserve"> validation</w:t>
            </w:r>
            <w:r w:rsidR="009A133B">
              <w:t xml:space="preserve">, and </w:t>
            </w:r>
            <w:r w:rsidR="00976A62">
              <w:t>be conducted in accordance with industry standards</w:t>
            </w:r>
            <w:r w:rsidR="009A133B">
              <w:t xml:space="preserve">. </w:t>
            </w:r>
          </w:p>
          <w:p w14:paraId="001ABDCD" w14:textId="77777777" w:rsidR="008404D5" w:rsidRDefault="008404D5" w:rsidP="000F503D">
            <w:pPr>
              <w:pStyle w:val="Header"/>
              <w:jc w:val="both"/>
            </w:pPr>
          </w:p>
          <w:p w14:paraId="498682CE" w14:textId="27FE8ED6" w:rsidR="00976A62" w:rsidRPr="009C36CD" w:rsidRDefault="00D26CB6" w:rsidP="000F503D">
            <w:pPr>
              <w:pStyle w:val="Header"/>
              <w:jc w:val="both"/>
            </w:pPr>
            <w:r>
              <w:t xml:space="preserve">H.B. </w:t>
            </w:r>
            <w:r w:rsidR="00021AD0">
              <w:t>29</w:t>
            </w:r>
            <w:r w:rsidR="009A133B">
              <w:t xml:space="preserve"> requires the </w:t>
            </w:r>
            <w:r w:rsidR="009A133B" w:rsidRPr="009A133B">
              <w:t>Texas Commission on Environmental Quality</w:t>
            </w:r>
            <w:r w:rsidR="009A133B">
              <w:t xml:space="preserve"> to</w:t>
            </w:r>
            <w:r>
              <w:t xml:space="preserve"> assess against a municipally owned utility an administrative penalty of $25,000 for each violation of </w:t>
            </w:r>
            <w:r w:rsidR="009A133B">
              <w:t>the bill's provisions</w:t>
            </w:r>
            <w:r>
              <w:t>.</w:t>
            </w:r>
          </w:p>
          <w:p w14:paraId="64342461" w14:textId="77777777" w:rsidR="008423E4" w:rsidRPr="00835628" w:rsidRDefault="008423E4" w:rsidP="000F503D">
            <w:pPr>
              <w:rPr>
                <w:b/>
              </w:rPr>
            </w:pPr>
          </w:p>
        </w:tc>
      </w:tr>
      <w:tr w:rsidR="001015BB" w14:paraId="55209C4C" w14:textId="77777777" w:rsidTr="00345119">
        <w:tc>
          <w:tcPr>
            <w:tcW w:w="9576" w:type="dxa"/>
          </w:tcPr>
          <w:p w14:paraId="0DEDF849" w14:textId="77777777" w:rsidR="008423E4" w:rsidRPr="00A8133F" w:rsidRDefault="00D26CB6" w:rsidP="000F503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D5AAEF4" w14:textId="77777777" w:rsidR="008423E4" w:rsidRDefault="008423E4" w:rsidP="000F503D"/>
          <w:p w14:paraId="1AF6CDD0" w14:textId="105740C1" w:rsidR="008423E4" w:rsidRPr="003624F2" w:rsidRDefault="00D26CB6" w:rsidP="000F503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2025.</w:t>
            </w:r>
          </w:p>
          <w:p w14:paraId="0942721E" w14:textId="77777777" w:rsidR="008423E4" w:rsidRPr="00233FDB" w:rsidRDefault="008423E4" w:rsidP="000F503D">
            <w:pPr>
              <w:rPr>
                <w:b/>
              </w:rPr>
            </w:pPr>
          </w:p>
        </w:tc>
      </w:tr>
    </w:tbl>
    <w:p w14:paraId="5F1900AD" w14:textId="77777777" w:rsidR="008423E4" w:rsidRPr="00BE0E75" w:rsidRDefault="008423E4" w:rsidP="000F503D">
      <w:pPr>
        <w:jc w:val="both"/>
        <w:rPr>
          <w:rFonts w:ascii="Arial" w:hAnsi="Arial"/>
          <w:sz w:val="16"/>
          <w:szCs w:val="16"/>
        </w:rPr>
      </w:pPr>
    </w:p>
    <w:p w14:paraId="5D3BCA5B" w14:textId="77777777" w:rsidR="004108C3" w:rsidRPr="008423E4" w:rsidRDefault="004108C3" w:rsidP="000F503D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DEDE" w14:textId="77777777" w:rsidR="00D26CB6" w:rsidRDefault="00D26CB6">
      <w:r>
        <w:separator/>
      </w:r>
    </w:p>
  </w:endnote>
  <w:endnote w:type="continuationSeparator" w:id="0">
    <w:p w14:paraId="5F84228A" w14:textId="77777777" w:rsidR="00D26CB6" w:rsidRDefault="00D2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84EE" w14:textId="77777777" w:rsidR="00AE4731" w:rsidRDefault="00AE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015BB" w14:paraId="004D8BAC" w14:textId="77777777" w:rsidTr="009C1E9A">
      <w:trPr>
        <w:cantSplit/>
      </w:trPr>
      <w:tc>
        <w:tcPr>
          <w:tcW w:w="0" w:type="pct"/>
        </w:tcPr>
        <w:p w14:paraId="2922460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E66F1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D407D5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E14CD4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F147EB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15BB" w14:paraId="3E3D66A7" w14:textId="77777777" w:rsidTr="009C1E9A">
      <w:trPr>
        <w:cantSplit/>
      </w:trPr>
      <w:tc>
        <w:tcPr>
          <w:tcW w:w="0" w:type="pct"/>
        </w:tcPr>
        <w:p w14:paraId="39F3F5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F244CBB" w14:textId="03D9FFF4" w:rsidR="00EC379B" w:rsidRPr="009C1E9A" w:rsidRDefault="00D26CB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22515-D</w:t>
          </w:r>
        </w:p>
      </w:tc>
      <w:tc>
        <w:tcPr>
          <w:tcW w:w="2453" w:type="pct"/>
        </w:tcPr>
        <w:p w14:paraId="0EA07F39" w14:textId="162E4582" w:rsidR="00EC379B" w:rsidRDefault="00D26CB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31780">
            <w:t>25.93.672</w:t>
          </w:r>
          <w:r>
            <w:fldChar w:fldCharType="end"/>
          </w:r>
        </w:p>
      </w:tc>
    </w:tr>
    <w:tr w:rsidR="001015BB" w14:paraId="31A885B0" w14:textId="77777777" w:rsidTr="009C1E9A">
      <w:trPr>
        <w:cantSplit/>
      </w:trPr>
      <w:tc>
        <w:tcPr>
          <w:tcW w:w="0" w:type="pct"/>
        </w:tcPr>
        <w:p w14:paraId="5497F04E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EABFCB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FCCB85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BC7F90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015BB" w14:paraId="4979123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91D811D" w14:textId="77777777" w:rsidR="00EC379B" w:rsidRDefault="00D26CB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EEF6A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4BCFF5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EFF6" w14:textId="77777777" w:rsidR="00AE4731" w:rsidRDefault="00AE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0B68" w14:textId="77777777" w:rsidR="00D26CB6" w:rsidRDefault="00D26CB6">
      <w:r>
        <w:separator/>
      </w:r>
    </w:p>
  </w:footnote>
  <w:footnote w:type="continuationSeparator" w:id="0">
    <w:p w14:paraId="79DF37C3" w14:textId="77777777" w:rsidR="00D26CB6" w:rsidRDefault="00D2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18D9" w14:textId="77777777" w:rsidR="00AE4731" w:rsidRDefault="00AE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9B54" w14:textId="77777777" w:rsidR="00AE4731" w:rsidRDefault="00AE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37E0" w14:textId="77777777" w:rsidR="00AE4731" w:rsidRDefault="00AE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8AC"/>
    <w:multiLevelType w:val="hybridMultilevel"/>
    <w:tmpl w:val="26588B00"/>
    <w:lvl w:ilvl="0" w:tplc="E7AA03E8">
      <w:start w:val="1"/>
      <w:numFmt w:val="decimal"/>
      <w:lvlText w:val="(%1)"/>
      <w:lvlJc w:val="left"/>
      <w:pPr>
        <w:ind w:left="758" w:hanging="398"/>
      </w:pPr>
      <w:rPr>
        <w:rFonts w:hint="default"/>
      </w:rPr>
    </w:lvl>
    <w:lvl w:ilvl="1" w:tplc="20B4F890" w:tentative="1">
      <w:start w:val="1"/>
      <w:numFmt w:val="lowerLetter"/>
      <w:lvlText w:val="%2."/>
      <w:lvlJc w:val="left"/>
      <w:pPr>
        <w:ind w:left="1440" w:hanging="360"/>
      </w:pPr>
    </w:lvl>
    <w:lvl w:ilvl="2" w:tplc="566A894E" w:tentative="1">
      <w:start w:val="1"/>
      <w:numFmt w:val="lowerRoman"/>
      <w:lvlText w:val="%3."/>
      <w:lvlJc w:val="right"/>
      <w:pPr>
        <w:ind w:left="2160" w:hanging="180"/>
      </w:pPr>
    </w:lvl>
    <w:lvl w:ilvl="3" w:tplc="E66C573E" w:tentative="1">
      <w:start w:val="1"/>
      <w:numFmt w:val="decimal"/>
      <w:lvlText w:val="%4."/>
      <w:lvlJc w:val="left"/>
      <w:pPr>
        <w:ind w:left="2880" w:hanging="360"/>
      </w:pPr>
    </w:lvl>
    <w:lvl w:ilvl="4" w:tplc="534C13C4" w:tentative="1">
      <w:start w:val="1"/>
      <w:numFmt w:val="lowerLetter"/>
      <w:lvlText w:val="%5."/>
      <w:lvlJc w:val="left"/>
      <w:pPr>
        <w:ind w:left="3600" w:hanging="360"/>
      </w:pPr>
    </w:lvl>
    <w:lvl w:ilvl="5" w:tplc="A6A23C72" w:tentative="1">
      <w:start w:val="1"/>
      <w:numFmt w:val="lowerRoman"/>
      <w:lvlText w:val="%6."/>
      <w:lvlJc w:val="right"/>
      <w:pPr>
        <w:ind w:left="4320" w:hanging="180"/>
      </w:pPr>
    </w:lvl>
    <w:lvl w:ilvl="6" w:tplc="46DCCD06" w:tentative="1">
      <w:start w:val="1"/>
      <w:numFmt w:val="decimal"/>
      <w:lvlText w:val="%7."/>
      <w:lvlJc w:val="left"/>
      <w:pPr>
        <w:ind w:left="5040" w:hanging="360"/>
      </w:pPr>
    </w:lvl>
    <w:lvl w:ilvl="7" w:tplc="19EA8730" w:tentative="1">
      <w:start w:val="1"/>
      <w:numFmt w:val="lowerLetter"/>
      <w:lvlText w:val="%8."/>
      <w:lvlJc w:val="left"/>
      <w:pPr>
        <w:ind w:left="5760" w:hanging="360"/>
      </w:pPr>
    </w:lvl>
    <w:lvl w:ilvl="8" w:tplc="B936D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861"/>
    <w:multiLevelType w:val="hybridMultilevel"/>
    <w:tmpl w:val="5D2A854E"/>
    <w:lvl w:ilvl="0" w:tplc="563A8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E8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8E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C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CE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635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1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A92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02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77F8C"/>
    <w:multiLevelType w:val="hybridMultilevel"/>
    <w:tmpl w:val="FBCC87A6"/>
    <w:lvl w:ilvl="0" w:tplc="1F767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095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7E6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6AE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87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22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6A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6E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EB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37126">
    <w:abstractNumId w:val="1"/>
  </w:num>
  <w:num w:numId="2" w16cid:durableId="1670405446">
    <w:abstractNumId w:val="2"/>
  </w:num>
  <w:num w:numId="3" w16cid:durableId="8551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3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16C32"/>
    <w:rsid w:val="00020C1E"/>
    <w:rsid w:val="00020E9B"/>
    <w:rsid w:val="00021AD0"/>
    <w:rsid w:val="000236C1"/>
    <w:rsid w:val="000236EC"/>
    <w:rsid w:val="0002413D"/>
    <w:rsid w:val="000249F2"/>
    <w:rsid w:val="00027E81"/>
    <w:rsid w:val="00030AD8"/>
    <w:rsid w:val="0003107A"/>
    <w:rsid w:val="00031C95"/>
    <w:rsid w:val="00032483"/>
    <w:rsid w:val="000330D4"/>
    <w:rsid w:val="0003572D"/>
    <w:rsid w:val="00035DB0"/>
    <w:rsid w:val="00037088"/>
    <w:rsid w:val="000400D5"/>
    <w:rsid w:val="00043B84"/>
    <w:rsid w:val="0004512B"/>
    <w:rsid w:val="00045E4D"/>
    <w:rsid w:val="000463F0"/>
    <w:rsid w:val="00046BDA"/>
    <w:rsid w:val="0004762E"/>
    <w:rsid w:val="00050CE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CBC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03D"/>
    <w:rsid w:val="000F5843"/>
    <w:rsid w:val="000F6A06"/>
    <w:rsid w:val="0010154D"/>
    <w:rsid w:val="001015BB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37F24"/>
    <w:rsid w:val="00141FB6"/>
    <w:rsid w:val="00142F8E"/>
    <w:rsid w:val="00143C8B"/>
    <w:rsid w:val="00147530"/>
    <w:rsid w:val="00150922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A5FC9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5E3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374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293C"/>
    <w:rsid w:val="002874E3"/>
    <w:rsid w:val="00287656"/>
    <w:rsid w:val="00291518"/>
    <w:rsid w:val="0029481E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46FA"/>
    <w:rsid w:val="002E21B8"/>
    <w:rsid w:val="002E2402"/>
    <w:rsid w:val="002E2586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698"/>
    <w:rsid w:val="00312D36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780"/>
    <w:rsid w:val="0043190E"/>
    <w:rsid w:val="004324E9"/>
    <w:rsid w:val="004350F3"/>
    <w:rsid w:val="00436980"/>
    <w:rsid w:val="00440C51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1C15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3633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456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5E58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B6986"/>
    <w:rsid w:val="005B78B6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49F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0EB"/>
    <w:rsid w:val="006757AA"/>
    <w:rsid w:val="0068127E"/>
    <w:rsid w:val="00681790"/>
    <w:rsid w:val="006823AA"/>
    <w:rsid w:val="0068302A"/>
    <w:rsid w:val="00684B98"/>
    <w:rsid w:val="00685DC9"/>
    <w:rsid w:val="00687163"/>
    <w:rsid w:val="00687465"/>
    <w:rsid w:val="006907CF"/>
    <w:rsid w:val="00691CCF"/>
    <w:rsid w:val="00693AFA"/>
    <w:rsid w:val="00695101"/>
    <w:rsid w:val="00695B9A"/>
    <w:rsid w:val="00696563"/>
    <w:rsid w:val="0069781A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4DA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2A02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0DDA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D21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C57"/>
    <w:rsid w:val="008404D5"/>
    <w:rsid w:val="0084176D"/>
    <w:rsid w:val="008423E4"/>
    <w:rsid w:val="00842900"/>
    <w:rsid w:val="00850CF0"/>
    <w:rsid w:val="00851869"/>
    <w:rsid w:val="00851C04"/>
    <w:rsid w:val="00852FF9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31C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0BF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6A62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33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89A"/>
    <w:rsid w:val="009C1E9A"/>
    <w:rsid w:val="009C2A33"/>
    <w:rsid w:val="009C2B0E"/>
    <w:rsid w:val="009C2E49"/>
    <w:rsid w:val="009C36CD"/>
    <w:rsid w:val="009C43A5"/>
    <w:rsid w:val="009C5421"/>
    <w:rsid w:val="009C5A1D"/>
    <w:rsid w:val="009C6B08"/>
    <w:rsid w:val="009C70FC"/>
    <w:rsid w:val="009D002B"/>
    <w:rsid w:val="009D37C7"/>
    <w:rsid w:val="009D4756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0CB5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5FE3"/>
    <w:rsid w:val="00A37FC8"/>
    <w:rsid w:val="00A41085"/>
    <w:rsid w:val="00A425C1"/>
    <w:rsid w:val="00A425FA"/>
    <w:rsid w:val="00A43960"/>
    <w:rsid w:val="00A464FA"/>
    <w:rsid w:val="00A46902"/>
    <w:rsid w:val="00A50CDB"/>
    <w:rsid w:val="00A51F3E"/>
    <w:rsid w:val="00A52855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C3C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AF9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731"/>
    <w:rsid w:val="00AE4F1C"/>
    <w:rsid w:val="00AF1433"/>
    <w:rsid w:val="00AF4864"/>
    <w:rsid w:val="00AF48B4"/>
    <w:rsid w:val="00AF4923"/>
    <w:rsid w:val="00AF7C74"/>
    <w:rsid w:val="00B000AF"/>
    <w:rsid w:val="00B04E79"/>
    <w:rsid w:val="00B07488"/>
    <w:rsid w:val="00B075A2"/>
    <w:rsid w:val="00B103DC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6A6B"/>
    <w:rsid w:val="00B43672"/>
    <w:rsid w:val="00B473D8"/>
    <w:rsid w:val="00B47464"/>
    <w:rsid w:val="00B5165A"/>
    <w:rsid w:val="00B524C1"/>
    <w:rsid w:val="00B52C8D"/>
    <w:rsid w:val="00B5317F"/>
    <w:rsid w:val="00B564BF"/>
    <w:rsid w:val="00B6104E"/>
    <w:rsid w:val="00B610C7"/>
    <w:rsid w:val="00B62106"/>
    <w:rsid w:val="00B626A8"/>
    <w:rsid w:val="00B65695"/>
    <w:rsid w:val="00B66526"/>
    <w:rsid w:val="00B665A3"/>
    <w:rsid w:val="00B71003"/>
    <w:rsid w:val="00B73BB4"/>
    <w:rsid w:val="00B80532"/>
    <w:rsid w:val="00B82039"/>
    <w:rsid w:val="00B82454"/>
    <w:rsid w:val="00B90097"/>
    <w:rsid w:val="00B901A6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3F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2088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30DF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6AEF"/>
    <w:rsid w:val="00CA7D7B"/>
    <w:rsid w:val="00CB0131"/>
    <w:rsid w:val="00CB0AE4"/>
    <w:rsid w:val="00CB0C21"/>
    <w:rsid w:val="00CB0D1A"/>
    <w:rsid w:val="00CB3627"/>
    <w:rsid w:val="00CB4B4B"/>
    <w:rsid w:val="00CB4B73"/>
    <w:rsid w:val="00CB679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0E56"/>
    <w:rsid w:val="00D03176"/>
    <w:rsid w:val="00D060A8"/>
    <w:rsid w:val="00D06605"/>
    <w:rsid w:val="00D0720F"/>
    <w:rsid w:val="00D074E2"/>
    <w:rsid w:val="00D10CB3"/>
    <w:rsid w:val="00D11B0B"/>
    <w:rsid w:val="00D12A3E"/>
    <w:rsid w:val="00D22160"/>
    <w:rsid w:val="00D22172"/>
    <w:rsid w:val="00D2301B"/>
    <w:rsid w:val="00D239EE"/>
    <w:rsid w:val="00D26CB6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54"/>
    <w:rsid w:val="00D768B7"/>
    <w:rsid w:val="00D77492"/>
    <w:rsid w:val="00D811E8"/>
    <w:rsid w:val="00D81A44"/>
    <w:rsid w:val="00D83072"/>
    <w:rsid w:val="00D83ABC"/>
    <w:rsid w:val="00D84870"/>
    <w:rsid w:val="00D907EA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1D54"/>
    <w:rsid w:val="00E529C8"/>
    <w:rsid w:val="00E55DA0"/>
    <w:rsid w:val="00E56033"/>
    <w:rsid w:val="00E61159"/>
    <w:rsid w:val="00E62351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15C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605C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268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90C485-FCAB-45AC-8CBA-2796A17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A13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A13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133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1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133B"/>
    <w:rPr>
      <w:b/>
      <w:bCs/>
    </w:rPr>
  </w:style>
  <w:style w:type="paragraph" w:styleId="Revision">
    <w:name w:val="Revision"/>
    <w:hidden/>
    <w:uiPriority w:val="99"/>
    <w:semiHidden/>
    <w:rsid w:val="00217374"/>
    <w:rPr>
      <w:sz w:val="24"/>
      <w:szCs w:val="24"/>
    </w:rPr>
  </w:style>
  <w:style w:type="character" w:styleId="Hyperlink">
    <w:name w:val="Hyperlink"/>
    <w:basedOn w:val="DefaultParagraphFont"/>
    <w:unhideWhenUsed/>
    <w:rsid w:val="006720E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2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4215</Characters>
  <Application>Microsoft Office Word</Application>
  <DocSecurity>0</DocSecurity>
  <Lines>90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HB00029 (Committee Report (Unamended))</vt:lpstr>
    </vt:vector>
  </TitlesOfParts>
  <Company>State of Texas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22515</dc:subject>
  <dc:creator>State of Texas</dc:creator>
  <dc:description>HB 29 by Gerdes-(H)Natural Resources</dc:description>
  <cp:lastModifiedBy>Damian Duarte</cp:lastModifiedBy>
  <cp:revision>2</cp:revision>
  <cp:lastPrinted>2003-11-26T17:21:00Z</cp:lastPrinted>
  <dcterms:created xsi:type="dcterms:W3CDTF">2025-04-08T15:31:00Z</dcterms:created>
  <dcterms:modified xsi:type="dcterms:W3CDTF">2025-04-08T15:31:00Z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25.93.672</vt:lpwstr>
  </property>
</Properties>
</file>