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55249" w14:paraId="42CF95EA" w14:textId="77777777" w:rsidTr="00345119">
        <w:tc>
          <w:tcPr>
            <w:tcW w:w="9576" w:type="dxa"/>
            <w:noWrap/>
          </w:tcPr>
          <w:p w14:paraId="17055661" w14:textId="77777777" w:rsidR="008423E4" w:rsidRPr="0022177D" w:rsidRDefault="0086461B" w:rsidP="005A5C42">
            <w:pPr>
              <w:pStyle w:val="Heading1"/>
            </w:pPr>
            <w:r w:rsidRPr="00631897">
              <w:t>BILL ANALYSIS</w:t>
            </w:r>
          </w:p>
        </w:tc>
      </w:tr>
    </w:tbl>
    <w:p w14:paraId="30B70135" w14:textId="77777777" w:rsidR="008423E4" w:rsidRPr="0022177D" w:rsidRDefault="008423E4" w:rsidP="005A5C42">
      <w:pPr>
        <w:jc w:val="center"/>
      </w:pPr>
    </w:p>
    <w:p w14:paraId="77B627DD" w14:textId="77777777" w:rsidR="008423E4" w:rsidRPr="00B31F0E" w:rsidRDefault="008423E4" w:rsidP="005A5C42"/>
    <w:p w14:paraId="222452C8" w14:textId="77777777" w:rsidR="008423E4" w:rsidRPr="00742794" w:rsidRDefault="008423E4" w:rsidP="005A5C42">
      <w:pPr>
        <w:tabs>
          <w:tab w:val="right" w:pos="9360"/>
        </w:tabs>
      </w:pPr>
    </w:p>
    <w:tbl>
      <w:tblPr>
        <w:tblW w:w="0" w:type="auto"/>
        <w:tblLayout w:type="fixed"/>
        <w:tblLook w:val="01E0" w:firstRow="1" w:lastRow="1" w:firstColumn="1" w:lastColumn="1" w:noHBand="0" w:noVBand="0"/>
      </w:tblPr>
      <w:tblGrid>
        <w:gridCol w:w="9576"/>
      </w:tblGrid>
      <w:tr w:rsidR="00855249" w14:paraId="1DF4B355" w14:textId="77777777" w:rsidTr="00345119">
        <w:tc>
          <w:tcPr>
            <w:tcW w:w="9576" w:type="dxa"/>
          </w:tcPr>
          <w:p w14:paraId="6688821E" w14:textId="03AAD9C5" w:rsidR="008423E4" w:rsidRPr="00861995" w:rsidRDefault="0086461B" w:rsidP="005A5C42">
            <w:pPr>
              <w:jc w:val="right"/>
            </w:pPr>
            <w:r>
              <w:t>C.S.H.B. 49</w:t>
            </w:r>
          </w:p>
        </w:tc>
      </w:tr>
      <w:tr w:rsidR="00855249" w14:paraId="78DA3AB4" w14:textId="77777777" w:rsidTr="00345119">
        <w:tc>
          <w:tcPr>
            <w:tcW w:w="9576" w:type="dxa"/>
          </w:tcPr>
          <w:p w14:paraId="4F909613" w14:textId="2C5ADDD9" w:rsidR="008423E4" w:rsidRPr="00861995" w:rsidRDefault="0086461B" w:rsidP="005A5C42">
            <w:pPr>
              <w:jc w:val="right"/>
            </w:pPr>
            <w:r>
              <w:t xml:space="preserve">By: </w:t>
            </w:r>
            <w:r w:rsidR="003E169A">
              <w:t>Darby</w:t>
            </w:r>
          </w:p>
        </w:tc>
      </w:tr>
      <w:tr w:rsidR="00855249" w14:paraId="2D781B97" w14:textId="77777777" w:rsidTr="00345119">
        <w:tc>
          <w:tcPr>
            <w:tcW w:w="9576" w:type="dxa"/>
          </w:tcPr>
          <w:p w14:paraId="670B097E" w14:textId="15FDDEEF" w:rsidR="008423E4" w:rsidRPr="00861995" w:rsidRDefault="0086461B" w:rsidP="005A5C42">
            <w:pPr>
              <w:jc w:val="right"/>
            </w:pPr>
            <w:r>
              <w:t>Energy Resources</w:t>
            </w:r>
          </w:p>
        </w:tc>
      </w:tr>
      <w:tr w:rsidR="00855249" w14:paraId="3AA8D9C8" w14:textId="77777777" w:rsidTr="00345119">
        <w:tc>
          <w:tcPr>
            <w:tcW w:w="9576" w:type="dxa"/>
          </w:tcPr>
          <w:p w14:paraId="73C72A26" w14:textId="6AD08798" w:rsidR="008423E4" w:rsidRDefault="0086461B" w:rsidP="005A5C42">
            <w:pPr>
              <w:jc w:val="right"/>
            </w:pPr>
            <w:r>
              <w:t>Committee Report (Substituted)</w:t>
            </w:r>
          </w:p>
        </w:tc>
      </w:tr>
    </w:tbl>
    <w:p w14:paraId="7AB7AFBC" w14:textId="77777777" w:rsidR="008423E4" w:rsidRDefault="008423E4" w:rsidP="005A5C42">
      <w:pPr>
        <w:tabs>
          <w:tab w:val="right" w:pos="9360"/>
        </w:tabs>
      </w:pPr>
    </w:p>
    <w:p w14:paraId="73DDB694" w14:textId="77777777" w:rsidR="008423E4" w:rsidRDefault="008423E4" w:rsidP="005A5C42"/>
    <w:p w14:paraId="1BB25290" w14:textId="77777777" w:rsidR="008423E4" w:rsidRDefault="008423E4" w:rsidP="005A5C42"/>
    <w:tbl>
      <w:tblPr>
        <w:tblW w:w="0" w:type="auto"/>
        <w:tblCellMar>
          <w:left w:w="115" w:type="dxa"/>
          <w:right w:w="115" w:type="dxa"/>
        </w:tblCellMar>
        <w:tblLook w:val="01E0" w:firstRow="1" w:lastRow="1" w:firstColumn="1" w:lastColumn="1" w:noHBand="0" w:noVBand="0"/>
      </w:tblPr>
      <w:tblGrid>
        <w:gridCol w:w="9360"/>
      </w:tblGrid>
      <w:tr w:rsidR="00855249" w14:paraId="758E40BB" w14:textId="77777777" w:rsidTr="00345119">
        <w:tc>
          <w:tcPr>
            <w:tcW w:w="9576" w:type="dxa"/>
          </w:tcPr>
          <w:p w14:paraId="23162F76" w14:textId="77777777" w:rsidR="008423E4" w:rsidRPr="003328B5" w:rsidRDefault="0086461B" w:rsidP="005A5C42">
            <w:pPr>
              <w:rPr>
                <w:b/>
              </w:rPr>
            </w:pPr>
            <w:r w:rsidRPr="003328B5">
              <w:rPr>
                <w:b/>
                <w:u w:val="single"/>
              </w:rPr>
              <w:t>BACKGROUND AND PURPOSE</w:t>
            </w:r>
            <w:r w:rsidRPr="003328B5">
              <w:rPr>
                <w:b/>
              </w:rPr>
              <w:t xml:space="preserve"> </w:t>
            </w:r>
          </w:p>
          <w:p w14:paraId="252790D8" w14:textId="77777777" w:rsidR="008423E4" w:rsidRDefault="008423E4" w:rsidP="005A5C42"/>
          <w:p w14:paraId="79EC732D" w14:textId="39A2CB3B" w:rsidR="008423E4" w:rsidRDefault="0086461B" w:rsidP="005A5C42">
            <w:pPr>
              <w:pStyle w:val="Header"/>
              <w:tabs>
                <w:tab w:val="clear" w:pos="4320"/>
                <w:tab w:val="clear" w:pos="8640"/>
              </w:tabs>
              <w:jc w:val="both"/>
            </w:pPr>
            <w:r>
              <w:t xml:space="preserve">Under </w:t>
            </w:r>
            <w:r w:rsidR="000D17EC">
              <w:t>current state</w:t>
            </w:r>
            <w:r>
              <w:t xml:space="preserve"> law, fluid oil and gas waste treatment facilities are generally indemnified from liability for subsequent uses of treated wa</w:t>
            </w:r>
            <w:r w:rsidR="001A7591">
              <w:t>s</w:t>
            </w:r>
            <w:r>
              <w:t xml:space="preserve">te products related to oil and gas production, with exceptions for personal injury, death, or property damage resulting from exposure to the waste or its treated products. </w:t>
            </w:r>
            <w:r w:rsidR="000D17EC">
              <w:t xml:space="preserve">The bill author has informed the committee that </w:t>
            </w:r>
            <w:r>
              <w:t>this indemnification does not extend to oil and gas producers, third-party conveyers, or to all beneficial uses of treated products</w:t>
            </w:r>
            <w:r w:rsidR="000D17EC">
              <w:t xml:space="preserve"> and that </w:t>
            </w:r>
            <w:r>
              <w:t>the current framework all</w:t>
            </w:r>
            <w:r>
              <w:t xml:space="preserve">ows for broad exceptions to indemnification, potentially exposing entities to significant liability risks. </w:t>
            </w:r>
            <w:r w:rsidR="000D17EC">
              <w:t>C.S.</w:t>
            </w:r>
            <w:r>
              <w:t>H</w:t>
            </w:r>
            <w:r w:rsidR="000D17EC">
              <w:t>.</w:t>
            </w:r>
            <w:r>
              <w:t>B</w:t>
            </w:r>
            <w:r w:rsidR="000D17EC">
              <w:t>.</w:t>
            </w:r>
            <w:r>
              <w:t xml:space="preserve"> 49 seeks to expand and clarify indemnification protections for entities involved in the production, conveyance, and treatment of fluid oil and gas waste </w:t>
            </w:r>
            <w:r w:rsidR="00D90E5C">
              <w:t xml:space="preserve">by revising applicable statutory provisions relating to tort responsibility in order to </w:t>
            </w:r>
            <w:r>
              <w:t>offer clearer legal standards and promot</w:t>
            </w:r>
            <w:r w:rsidR="00D90E5C">
              <w:t>e</w:t>
            </w:r>
            <w:r>
              <w:t xml:space="preserve"> innovative, sustainable waste reuse.</w:t>
            </w:r>
          </w:p>
          <w:p w14:paraId="7F0B74D6" w14:textId="77777777" w:rsidR="008423E4" w:rsidRPr="00E26B13" w:rsidRDefault="008423E4" w:rsidP="005A5C42">
            <w:pPr>
              <w:rPr>
                <w:b/>
              </w:rPr>
            </w:pPr>
          </w:p>
        </w:tc>
      </w:tr>
      <w:tr w:rsidR="00855249" w14:paraId="6FD6D208" w14:textId="77777777" w:rsidTr="00345119">
        <w:tc>
          <w:tcPr>
            <w:tcW w:w="9576" w:type="dxa"/>
          </w:tcPr>
          <w:p w14:paraId="6D564409" w14:textId="77777777" w:rsidR="0017725B" w:rsidRPr="009C4986" w:rsidRDefault="0086461B" w:rsidP="005A5C42">
            <w:pPr>
              <w:rPr>
                <w:b/>
                <w:u w:val="single"/>
              </w:rPr>
            </w:pPr>
            <w:r w:rsidRPr="009C4986">
              <w:rPr>
                <w:b/>
                <w:u w:val="single"/>
              </w:rPr>
              <w:t>CRIMINAL JUSTICE IMPACT</w:t>
            </w:r>
          </w:p>
          <w:p w14:paraId="217D0216" w14:textId="77777777" w:rsidR="0017725B" w:rsidRDefault="0017725B" w:rsidP="005A5C42">
            <w:pPr>
              <w:rPr>
                <w:b/>
                <w:u w:val="single"/>
              </w:rPr>
            </w:pPr>
          </w:p>
          <w:p w14:paraId="7371410D" w14:textId="5AD9783F" w:rsidR="00153D87" w:rsidRPr="00153D87" w:rsidRDefault="0086461B" w:rsidP="005A5C42">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471765E" w14:textId="77777777" w:rsidR="0017725B" w:rsidRPr="0017725B" w:rsidRDefault="0017725B" w:rsidP="005A5C42">
            <w:pPr>
              <w:rPr>
                <w:b/>
                <w:u w:val="single"/>
              </w:rPr>
            </w:pPr>
          </w:p>
        </w:tc>
      </w:tr>
      <w:tr w:rsidR="00855249" w14:paraId="2B06912D" w14:textId="77777777" w:rsidTr="00345119">
        <w:tc>
          <w:tcPr>
            <w:tcW w:w="9576" w:type="dxa"/>
          </w:tcPr>
          <w:p w14:paraId="1F446D9A" w14:textId="77777777" w:rsidR="008423E4" w:rsidRPr="00BA24B6" w:rsidRDefault="0086461B" w:rsidP="005A5C42">
            <w:pPr>
              <w:rPr>
                <w:b/>
              </w:rPr>
            </w:pPr>
            <w:r w:rsidRPr="00BA24B6">
              <w:rPr>
                <w:b/>
                <w:u w:val="single"/>
              </w:rPr>
              <w:t>RULEMAKING AUTHORITY</w:t>
            </w:r>
            <w:r w:rsidRPr="00BA24B6">
              <w:rPr>
                <w:b/>
              </w:rPr>
              <w:t xml:space="preserve"> </w:t>
            </w:r>
          </w:p>
          <w:p w14:paraId="1F2D679E" w14:textId="77777777" w:rsidR="008423E4" w:rsidRDefault="008423E4" w:rsidP="005A5C42"/>
          <w:p w14:paraId="6271B454" w14:textId="355B5F91" w:rsidR="0090421F" w:rsidRDefault="0086461B" w:rsidP="005A5C42">
            <w:pPr>
              <w:pStyle w:val="Header"/>
              <w:tabs>
                <w:tab w:val="clear" w:pos="4320"/>
                <w:tab w:val="clear" w:pos="8640"/>
              </w:tabs>
              <w:jc w:val="both"/>
            </w:pPr>
            <w:r>
              <w:t xml:space="preserve">It is the committee's opinion that rulemaking authority is expressly granted to the </w:t>
            </w:r>
            <w:r w:rsidRPr="0090421F">
              <w:t>Railroad Commission of Texas</w:t>
            </w:r>
            <w:r>
              <w:t xml:space="preserve"> in </w:t>
            </w:r>
            <w:r w:rsidRPr="0090421F">
              <w:t xml:space="preserve">SECTION </w:t>
            </w:r>
            <w:r w:rsidR="00BA24B6">
              <w:t>2</w:t>
            </w:r>
            <w:r>
              <w:t xml:space="preserve"> of this bill.</w:t>
            </w:r>
          </w:p>
          <w:p w14:paraId="37A0B32D" w14:textId="77777777" w:rsidR="008423E4" w:rsidRPr="00E21FDC" w:rsidRDefault="008423E4" w:rsidP="005A5C42">
            <w:pPr>
              <w:rPr>
                <w:b/>
              </w:rPr>
            </w:pPr>
          </w:p>
        </w:tc>
      </w:tr>
      <w:tr w:rsidR="00855249" w14:paraId="0F51B4F1" w14:textId="77777777" w:rsidTr="00345119">
        <w:tc>
          <w:tcPr>
            <w:tcW w:w="9576" w:type="dxa"/>
          </w:tcPr>
          <w:p w14:paraId="35FC3E4B" w14:textId="77777777" w:rsidR="008423E4" w:rsidRPr="00A8133F" w:rsidRDefault="0086461B" w:rsidP="005A5C42">
            <w:pPr>
              <w:rPr>
                <w:b/>
              </w:rPr>
            </w:pPr>
            <w:r w:rsidRPr="009C1E9A">
              <w:rPr>
                <w:b/>
                <w:u w:val="single"/>
              </w:rPr>
              <w:t>ANALYSIS</w:t>
            </w:r>
            <w:r>
              <w:rPr>
                <w:b/>
              </w:rPr>
              <w:t xml:space="preserve"> </w:t>
            </w:r>
          </w:p>
          <w:p w14:paraId="28EEA002" w14:textId="77777777" w:rsidR="008423E4" w:rsidRDefault="008423E4" w:rsidP="005A5C42"/>
          <w:p w14:paraId="6B896215" w14:textId="4D2FCD9A" w:rsidR="004C0F6B" w:rsidRDefault="0086461B" w:rsidP="005A5C42">
            <w:pPr>
              <w:pStyle w:val="Header"/>
              <w:tabs>
                <w:tab w:val="clear" w:pos="4320"/>
                <w:tab w:val="clear" w:pos="8640"/>
              </w:tabs>
              <w:jc w:val="both"/>
            </w:pPr>
            <w:r>
              <w:t>C.S.</w:t>
            </w:r>
            <w:r w:rsidR="003D7697">
              <w:t xml:space="preserve">H.B. </w:t>
            </w:r>
            <w:r>
              <w:t>49</w:t>
            </w:r>
            <w:r w:rsidR="008651CD">
              <w:t xml:space="preserve"> </w:t>
            </w:r>
            <w:r w:rsidR="00C42E8E">
              <w:t xml:space="preserve">amends the </w:t>
            </w:r>
            <w:r w:rsidR="00C42E8E" w:rsidRPr="00C42E8E">
              <w:t>Natural Resources Code</w:t>
            </w:r>
            <w:r w:rsidR="00C42E8E">
              <w:t xml:space="preserve"> to </w:t>
            </w:r>
            <w:r w:rsidR="0008264F">
              <w:t xml:space="preserve">make the following changes to </w:t>
            </w:r>
            <w:r w:rsidR="008651CD">
              <w:t xml:space="preserve">the general exemption from liability in tort </w:t>
            </w:r>
            <w:r w:rsidR="00851A46" w:rsidRPr="008651CD">
              <w:t>for a consequence of the subsequent use</w:t>
            </w:r>
            <w:r w:rsidR="00851A46">
              <w:t xml:space="preserve"> of </w:t>
            </w:r>
            <w:r w:rsidR="007C442E">
              <w:t xml:space="preserve">a </w:t>
            </w:r>
            <w:r w:rsidR="00851A46">
              <w:t xml:space="preserve">treated </w:t>
            </w:r>
            <w:r w:rsidR="006F66D6">
              <w:t>item</w:t>
            </w:r>
            <w:r w:rsidR="00851A46">
              <w:t xml:space="preserve"> </w:t>
            </w:r>
            <w:r w:rsidR="008651CD">
              <w:t xml:space="preserve">granted to a person </w:t>
            </w:r>
            <w:r w:rsidR="008651CD" w:rsidRPr="008651CD">
              <w:t>who takes possession of fluid oil and gas waste</w:t>
            </w:r>
            <w:r w:rsidR="00CF1D13">
              <w:t xml:space="preserve">, produces a treated </w:t>
            </w:r>
            <w:r w:rsidR="007C442E">
              <w:t>item</w:t>
            </w:r>
            <w:r w:rsidR="00CF1D13">
              <w:t xml:space="preserve"> from the waste,</w:t>
            </w:r>
            <w:r w:rsidR="008A54FC">
              <w:t xml:space="preserve"> and transfers the treated </w:t>
            </w:r>
            <w:r w:rsidR="007C442E">
              <w:t>item</w:t>
            </w:r>
            <w:r w:rsidR="008A54FC">
              <w:t xml:space="preserve"> to another person</w:t>
            </w:r>
            <w:r w:rsidR="008651CD">
              <w:t xml:space="preserve"> </w:t>
            </w:r>
            <w:r w:rsidR="00851A46">
              <w:t>with a certain contractual understanding regarding its use</w:t>
            </w:r>
            <w:r w:rsidR="008651CD">
              <w:t>:</w:t>
            </w:r>
          </w:p>
          <w:p w14:paraId="3F68914E" w14:textId="2E6E5E90" w:rsidR="00C42E8E" w:rsidRDefault="0086461B" w:rsidP="005A5C42">
            <w:pPr>
              <w:pStyle w:val="Header"/>
              <w:numPr>
                <w:ilvl w:val="0"/>
                <w:numId w:val="1"/>
              </w:numPr>
              <w:tabs>
                <w:tab w:val="clear" w:pos="4320"/>
                <w:tab w:val="clear" w:pos="8640"/>
              </w:tabs>
              <w:jc w:val="both"/>
            </w:pPr>
            <w:r>
              <w:t>specifies that the taking of possession of fluid oil and gas waste is for treatment;</w:t>
            </w:r>
          </w:p>
          <w:p w14:paraId="020F8703" w14:textId="60EDB712" w:rsidR="008651CD" w:rsidRDefault="0086461B" w:rsidP="005A5C42">
            <w:pPr>
              <w:pStyle w:val="Header"/>
              <w:numPr>
                <w:ilvl w:val="0"/>
                <w:numId w:val="1"/>
              </w:numPr>
              <w:tabs>
                <w:tab w:val="clear" w:pos="4320"/>
                <w:tab w:val="clear" w:pos="8640"/>
              </w:tabs>
              <w:jc w:val="both"/>
            </w:pPr>
            <w:r>
              <w:t xml:space="preserve">changes the type of </w:t>
            </w:r>
            <w:r w:rsidR="00CF1D13">
              <w:t>produced</w:t>
            </w:r>
            <w:r w:rsidR="007C442E">
              <w:t xml:space="preserve"> treated</w:t>
            </w:r>
            <w:r w:rsidR="00CF1D13">
              <w:t xml:space="preserve"> </w:t>
            </w:r>
            <w:r w:rsidR="006F66D6">
              <w:t xml:space="preserve">item </w:t>
            </w:r>
            <w:r>
              <w:t xml:space="preserve">from </w:t>
            </w:r>
            <w:r w:rsidRPr="00EB5461">
              <w:t xml:space="preserve">a treated product </w:t>
            </w:r>
            <w:r w:rsidRPr="00EB5461">
              <w:t>generally considered in the oil and gas industry to be suitable for use in connection with the drilling for or production of oil or gas</w:t>
            </w:r>
            <w:r>
              <w:t xml:space="preserve"> to treated </w:t>
            </w:r>
            <w:r w:rsidR="006F66D6">
              <w:t>waste</w:t>
            </w:r>
            <w:r>
              <w:t>;</w:t>
            </w:r>
          </w:p>
          <w:p w14:paraId="70F3068F" w14:textId="62AD8162" w:rsidR="00EB5461" w:rsidRDefault="0086461B" w:rsidP="005A5C42">
            <w:pPr>
              <w:pStyle w:val="Header"/>
              <w:numPr>
                <w:ilvl w:val="0"/>
                <w:numId w:val="1"/>
              </w:numPr>
              <w:tabs>
                <w:tab w:val="clear" w:pos="4320"/>
                <w:tab w:val="clear" w:pos="8640"/>
              </w:tabs>
              <w:jc w:val="both"/>
            </w:pPr>
            <w:r>
              <w:t>includes as an action which the</w:t>
            </w:r>
            <w:r w:rsidR="00CF1D13">
              <w:t xml:space="preserve"> exempt</w:t>
            </w:r>
            <w:r>
              <w:t xml:space="preserve"> person may take </w:t>
            </w:r>
            <w:r w:rsidR="004C7FC7">
              <w:t xml:space="preserve">as an alternative to transferring the treated </w:t>
            </w:r>
            <w:r w:rsidR="006F66D6">
              <w:t>item</w:t>
            </w:r>
            <w:r w:rsidR="004C7FC7">
              <w:t xml:space="preserve"> </w:t>
            </w:r>
            <w:r>
              <w:t xml:space="preserve">the putting of the treated </w:t>
            </w:r>
            <w:r w:rsidR="007C442E">
              <w:t>item</w:t>
            </w:r>
            <w:r>
              <w:t xml:space="preserve"> to a beneficial use;</w:t>
            </w:r>
            <w:r w:rsidR="00CB3804">
              <w:t xml:space="preserve"> and</w:t>
            </w:r>
          </w:p>
          <w:p w14:paraId="028FC569" w14:textId="5D3C1F97" w:rsidR="00EB5461" w:rsidRDefault="0086461B" w:rsidP="005A5C42">
            <w:pPr>
              <w:pStyle w:val="Header"/>
              <w:numPr>
                <w:ilvl w:val="0"/>
                <w:numId w:val="1"/>
              </w:numPr>
              <w:tabs>
                <w:tab w:val="clear" w:pos="4320"/>
                <w:tab w:val="clear" w:pos="8640"/>
              </w:tabs>
              <w:jc w:val="both"/>
            </w:pPr>
            <w:r>
              <w:t xml:space="preserve">changes the </w:t>
            </w:r>
            <w:r w:rsidR="004C7FC7">
              <w:t xml:space="preserve">nature of the </w:t>
            </w:r>
            <w:r>
              <w:t>contractual understanding</w:t>
            </w:r>
            <w:r w:rsidR="004C7FC7">
              <w:t xml:space="preserve"> from</w:t>
            </w:r>
            <w:r>
              <w:t xml:space="preserve"> </w:t>
            </w:r>
            <w:r w:rsidR="004C7FC7">
              <w:t>an understanding</w:t>
            </w:r>
            <w:r w:rsidRPr="00EB5461">
              <w:t xml:space="preserve"> that the treated </w:t>
            </w:r>
            <w:r w:rsidR="006F66D6">
              <w:t>item</w:t>
            </w:r>
            <w:r w:rsidRPr="00EB5461">
              <w:t xml:space="preserve"> will be</w:t>
            </w:r>
            <w:r>
              <w:t xml:space="preserve"> </w:t>
            </w:r>
            <w:r w:rsidRPr="00EB5461">
              <w:t>used in connection with the drilling for or production of oil or gas</w:t>
            </w:r>
            <w:r>
              <w:t xml:space="preserve"> </w:t>
            </w:r>
            <w:r w:rsidR="004C7FC7">
              <w:t>to an</w:t>
            </w:r>
            <w:r w:rsidRPr="00EB5461">
              <w:t xml:space="preserve"> understanding that the treated </w:t>
            </w:r>
            <w:r w:rsidR="006F66D6">
              <w:t>item</w:t>
            </w:r>
            <w:r w:rsidRPr="00EB5461">
              <w:t xml:space="preserve"> will be put to a beneficial use</w:t>
            </w:r>
            <w:r>
              <w:t>.</w:t>
            </w:r>
          </w:p>
          <w:p w14:paraId="199037BF" w14:textId="77777777" w:rsidR="00CF1D13" w:rsidRDefault="00CF1D13" w:rsidP="005A5C42">
            <w:pPr>
              <w:pStyle w:val="Header"/>
              <w:tabs>
                <w:tab w:val="clear" w:pos="4320"/>
                <w:tab w:val="clear" w:pos="8640"/>
              </w:tabs>
              <w:jc w:val="both"/>
            </w:pPr>
          </w:p>
          <w:p w14:paraId="058C51B6" w14:textId="4F9AD620" w:rsidR="003D7697" w:rsidRDefault="0086461B" w:rsidP="005A5C42">
            <w:pPr>
              <w:pStyle w:val="Header"/>
              <w:tabs>
                <w:tab w:val="clear" w:pos="4320"/>
                <w:tab w:val="clear" w:pos="8640"/>
              </w:tabs>
              <w:jc w:val="both"/>
            </w:pPr>
            <w:r>
              <w:t>C.S.H.B. 49 exempts, except as otherwise provided, a person</w:t>
            </w:r>
            <w:r w:rsidR="007C442E">
              <w:t xml:space="preserve">, </w:t>
            </w:r>
            <w:r w:rsidR="007C442E" w:rsidRPr="007C442E">
              <w:t>including an owner of the surface estate of real property</w:t>
            </w:r>
            <w:r w:rsidR="007C442E">
              <w:t>,</w:t>
            </w:r>
            <w:r>
              <w:t xml:space="preserve"> who produces fluid oil and gas waste or who supplies or conveys fluid oil and gas waste to a treatment facility for the purpose of generating treated </w:t>
            </w:r>
            <w:r w:rsidR="007C442E">
              <w:t>waste</w:t>
            </w:r>
            <w:r>
              <w:t xml:space="preserve"> from liability in tort for the following:</w:t>
            </w:r>
          </w:p>
          <w:p w14:paraId="49472A83" w14:textId="02155BAD" w:rsidR="003D7697" w:rsidRDefault="0086461B" w:rsidP="005A5C42">
            <w:pPr>
              <w:pStyle w:val="Header"/>
              <w:numPr>
                <w:ilvl w:val="0"/>
                <w:numId w:val="2"/>
              </w:numPr>
              <w:jc w:val="both"/>
            </w:pPr>
            <w:r>
              <w:t xml:space="preserve">a consequence of the subsequent treatment of that fluid oil and gas waste to generate treated </w:t>
            </w:r>
            <w:r w:rsidR="00BA1BC2">
              <w:t>waste</w:t>
            </w:r>
            <w:r>
              <w:t>;</w:t>
            </w:r>
          </w:p>
          <w:p w14:paraId="310DF6A2" w14:textId="086AAB5B" w:rsidR="003D7697" w:rsidRDefault="0086461B" w:rsidP="005A5C42">
            <w:pPr>
              <w:pStyle w:val="Header"/>
              <w:numPr>
                <w:ilvl w:val="0"/>
                <w:numId w:val="2"/>
              </w:numPr>
              <w:jc w:val="both"/>
            </w:pPr>
            <w:r>
              <w:t xml:space="preserve">the subsequent use of that treated </w:t>
            </w:r>
            <w:r w:rsidR="00BA1BC2">
              <w:t>waste</w:t>
            </w:r>
            <w:r>
              <w:t xml:space="preserve"> by any person; </w:t>
            </w:r>
            <w:r w:rsidR="004C7FC7">
              <w:t>and</w:t>
            </w:r>
          </w:p>
          <w:p w14:paraId="25AE3030" w14:textId="2A66881C" w:rsidR="003D7697" w:rsidRDefault="0086461B" w:rsidP="005A5C42">
            <w:pPr>
              <w:pStyle w:val="Header"/>
              <w:numPr>
                <w:ilvl w:val="0"/>
                <w:numId w:val="2"/>
              </w:numPr>
              <w:tabs>
                <w:tab w:val="clear" w:pos="4320"/>
                <w:tab w:val="clear" w:pos="8640"/>
              </w:tabs>
              <w:jc w:val="both"/>
            </w:pPr>
            <w:r>
              <w:t>exposure to</w:t>
            </w:r>
            <w:r w:rsidR="00BA1BC2">
              <w:t xml:space="preserve"> </w:t>
            </w:r>
            <w:r w:rsidR="00BA1BC2" w:rsidRPr="00BA1BC2">
              <w:t>any component of the waste or any</w:t>
            </w:r>
            <w:r>
              <w:t xml:space="preserve"> byproduct of the process used to generate treated </w:t>
            </w:r>
            <w:r w:rsidR="00BA1BC2">
              <w:t>waste</w:t>
            </w:r>
            <w:r>
              <w:t>.</w:t>
            </w:r>
          </w:p>
          <w:p w14:paraId="582A8A98" w14:textId="77777777" w:rsidR="003D7697" w:rsidRDefault="003D7697" w:rsidP="005A5C42">
            <w:pPr>
              <w:pStyle w:val="Header"/>
              <w:tabs>
                <w:tab w:val="clear" w:pos="4320"/>
                <w:tab w:val="clear" w:pos="8640"/>
              </w:tabs>
              <w:jc w:val="both"/>
            </w:pPr>
          </w:p>
          <w:p w14:paraId="14D93B6F" w14:textId="6ED8B4EA" w:rsidR="00BA1BC2" w:rsidRDefault="0086461B" w:rsidP="005A5C42">
            <w:pPr>
              <w:pStyle w:val="Header"/>
              <w:tabs>
                <w:tab w:val="clear" w:pos="4320"/>
                <w:tab w:val="clear" w:pos="8640"/>
              </w:tabs>
              <w:jc w:val="both"/>
            </w:pPr>
            <w:r>
              <w:t>C.S.H.B. 49 exempts, e</w:t>
            </w:r>
            <w:r w:rsidRPr="00BA1BC2">
              <w:t>xcept as</w:t>
            </w:r>
            <w:r>
              <w:t xml:space="preserve"> otherwise</w:t>
            </w:r>
            <w:r w:rsidRPr="00BA1BC2">
              <w:t xml:space="preserve"> provided, an owner of the surface estate of real property on or under which fluid oil and gas waste is produced, conveyed, or transported </w:t>
            </w:r>
            <w:r>
              <w:t>from</w:t>
            </w:r>
            <w:r w:rsidRPr="00BA1BC2">
              <w:t xml:space="preserve"> liab</w:t>
            </w:r>
            <w:r>
              <w:t>i</w:t>
            </w:r>
            <w:r w:rsidRPr="00BA1BC2">
              <w:t>l</w:t>
            </w:r>
            <w:r>
              <w:t>ity</w:t>
            </w:r>
            <w:r w:rsidRPr="00BA1BC2">
              <w:t xml:space="preserve"> in an action for damages for personal injury, death, or property damage arising from exposure to fluid oil and gas waste, treated waste, or a byproduct of a process used to generate treated waste.</w:t>
            </w:r>
          </w:p>
          <w:p w14:paraId="61495DFB" w14:textId="77777777" w:rsidR="00BA1BC2" w:rsidRDefault="00BA1BC2" w:rsidP="005A5C42">
            <w:pPr>
              <w:pStyle w:val="Header"/>
              <w:tabs>
                <w:tab w:val="clear" w:pos="4320"/>
                <w:tab w:val="clear" w:pos="8640"/>
              </w:tabs>
              <w:jc w:val="both"/>
            </w:pPr>
          </w:p>
          <w:p w14:paraId="42E205E8" w14:textId="19353B06" w:rsidR="00564B9F" w:rsidRDefault="0086461B" w:rsidP="005A5C42">
            <w:pPr>
              <w:pStyle w:val="Header"/>
              <w:tabs>
                <w:tab w:val="clear" w:pos="4320"/>
                <w:tab w:val="clear" w:pos="8640"/>
              </w:tabs>
              <w:jc w:val="both"/>
            </w:pPr>
            <w:r>
              <w:t>C.S.</w:t>
            </w:r>
            <w:r w:rsidR="003D7697">
              <w:t xml:space="preserve">H.B. </w:t>
            </w:r>
            <w:r>
              <w:t>49</w:t>
            </w:r>
            <w:r w:rsidR="003D7697">
              <w:t xml:space="preserve"> </w:t>
            </w:r>
            <w:r w:rsidR="0008264F">
              <w:t>makes</w:t>
            </w:r>
            <w:r w:rsidR="003D7697">
              <w:t xml:space="preserve"> the following</w:t>
            </w:r>
            <w:r w:rsidR="0008264F">
              <w:t xml:space="preserve"> changes</w:t>
            </w:r>
            <w:r w:rsidR="003D7697">
              <w:t xml:space="preserve"> with respect to the provision that </w:t>
            </w:r>
            <w:r>
              <w:t>establishes that</w:t>
            </w:r>
            <w:r w:rsidR="009A001B">
              <w:t xml:space="preserve"> </w:t>
            </w:r>
            <w:r w:rsidR="004C7FC7">
              <w:t xml:space="preserve">tort responsibility </w:t>
            </w:r>
            <w:r>
              <w:t xml:space="preserve">provisions </w:t>
            </w:r>
            <w:r w:rsidRPr="00564B9F">
              <w:t xml:space="preserve">do not affect the liability of a person in an action brought by a </w:t>
            </w:r>
            <w:r w:rsidR="004C6187">
              <w:t>claimant</w:t>
            </w:r>
            <w:r w:rsidRPr="00564B9F">
              <w:t xml:space="preserve"> for damages for personal injury, death, or property damage arising from exposure to fluid oil and gas waste or a treated </w:t>
            </w:r>
            <w:r w:rsidR="00BA1BC2">
              <w:t>item</w:t>
            </w:r>
            <w:r>
              <w:t>:</w:t>
            </w:r>
          </w:p>
          <w:p w14:paraId="15B112FA" w14:textId="38F40B5F" w:rsidR="00BA1BC2" w:rsidRDefault="0086461B" w:rsidP="005A5C42">
            <w:pPr>
              <w:pStyle w:val="Header"/>
              <w:numPr>
                <w:ilvl w:val="0"/>
                <w:numId w:val="4"/>
              </w:numPr>
              <w:tabs>
                <w:tab w:val="clear" w:pos="4320"/>
                <w:tab w:val="clear" w:pos="8640"/>
              </w:tabs>
              <w:jc w:val="both"/>
            </w:pPr>
            <w:r>
              <w:t>changes the treated item from a treated product to treated waste;</w:t>
            </w:r>
          </w:p>
          <w:p w14:paraId="0673A249" w14:textId="00033266" w:rsidR="00564B9F" w:rsidRDefault="0086461B" w:rsidP="005A5C42">
            <w:pPr>
              <w:pStyle w:val="Header"/>
              <w:numPr>
                <w:ilvl w:val="0"/>
                <w:numId w:val="4"/>
              </w:numPr>
              <w:tabs>
                <w:tab w:val="clear" w:pos="4320"/>
                <w:tab w:val="clear" w:pos="8640"/>
              </w:tabs>
              <w:jc w:val="both"/>
            </w:pPr>
            <w:r>
              <w:t>removes the specification that the liable person is a person who</w:t>
            </w:r>
            <w:r w:rsidRPr="00564B9F">
              <w:t xml:space="preserve"> treats fluid oil and gas waste for beneficial use</w:t>
            </w:r>
            <w:r>
              <w:t>;</w:t>
            </w:r>
          </w:p>
          <w:p w14:paraId="312C04DA" w14:textId="2A260536" w:rsidR="00564B9F" w:rsidRDefault="0086461B" w:rsidP="005A5C42">
            <w:pPr>
              <w:pStyle w:val="Header"/>
              <w:numPr>
                <w:ilvl w:val="0"/>
                <w:numId w:val="4"/>
              </w:numPr>
              <w:tabs>
                <w:tab w:val="clear" w:pos="4320"/>
                <w:tab w:val="clear" w:pos="8640"/>
              </w:tabs>
              <w:jc w:val="both"/>
            </w:pPr>
            <w:r>
              <w:t xml:space="preserve">includes </w:t>
            </w:r>
            <w:r w:rsidR="00CB3804">
              <w:t xml:space="preserve">exposure to </w:t>
            </w:r>
            <w:r w:rsidR="00CB3804" w:rsidRPr="00CB3804">
              <w:t xml:space="preserve">a byproduct of a process used to generate treated </w:t>
            </w:r>
            <w:r w:rsidR="00D926C4">
              <w:t>waste</w:t>
            </w:r>
            <w:r w:rsidR="006F1039">
              <w:t xml:space="preserve"> as an applicable exposure</w:t>
            </w:r>
            <w:r w:rsidR="00CB3804">
              <w:t>; and</w:t>
            </w:r>
          </w:p>
          <w:p w14:paraId="66874EE1" w14:textId="771C1980" w:rsidR="00CB3804" w:rsidRDefault="0086461B" w:rsidP="005A5C42">
            <w:pPr>
              <w:pStyle w:val="Header"/>
              <w:numPr>
                <w:ilvl w:val="0"/>
                <w:numId w:val="4"/>
              </w:numPr>
              <w:tabs>
                <w:tab w:val="clear" w:pos="4320"/>
                <w:tab w:val="clear" w:pos="8640"/>
              </w:tabs>
              <w:jc w:val="both"/>
            </w:pPr>
            <w:r>
              <w:t>c</w:t>
            </w:r>
            <w:r>
              <w:t xml:space="preserve">onditions </w:t>
            </w:r>
            <w:r w:rsidR="006F1039">
              <w:t xml:space="preserve">the provision on the </w:t>
            </w:r>
            <w:r>
              <w:t>exposure occurring as a result of the following:</w:t>
            </w:r>
          </w:p>
          <w:p w14:paraId="67176EDA" w14:textId="08C5A616" w:rsidR="00CB3804" w:rsidRDefault="0086461B" w:rsidP="005A5C42">
            <w:pPr>
              <w:pStyle w:val="Header"/>
              <w:numPr>
                <w:ilvl w:val="1"/>
                <w:numId w:val="4"/>
              </w:numPr>
              <w:jc w:val="both"/>
            </w:pPr>
            <w:r>
              <w:t>t</w:t>
            </w:r>
            <w:r w:rsidR="004C6187">
              <w:t xml:space="preserve">he person's </w:t>
            </w:r>
            <w:r>
              <w:t>gross negligence or intentional, wrongful act or omission; or</w:t>
            </w:r>
          </w:p>
          <w:p w14:paraId="743418BC" w14:textId="0FA2ACA8" w:rsidR="000F7E26" w:rsidRDefault="0086461B" w:rsidP="005A5C42">
            <w:pPr>
              <w:pStyle w:val="Header"/>
              <w:numPr>
                <w:ilvl w:val="1"/>
                <w:numId w:val="4"/>
              </w:numPr>
              <w:jc w:val="both"/>
            </w:pPr>
            <w:r>
              <w:t>t</w:t>
            </w:r>
            <w:r w:rsidR="004C6187">
              <w:t>he person's</w:t>
            </w:r>
            <w:r w:rsidR="00CB3804">
              <w:t xml:space="preserve"> negligence and the person not treat</w:t>
            </w:r>
            <w:r w:rsidR="004C6187">
              <w:t>ing</w:t>
            </w:r>
            <w:r w:rsidR="00CB3804">
              <w:t>, generat</w:t>
            </w:r>
            <w:r w:rsidR="004C6187">
              <w:t>ing</w:t>
            </w:r>
            <w:r w:rsidR="00CB3804">
              <w:t>, us</w:t>
            </w:r>
            <w:r w:rsidR="004C6187">
              <w:t>ing</w:t>
            </w:r>
            <w:r w:rsidR="00CB3804">
              <w:t>, or dispos</w:t>
            </w:r>
            <w:r w:rsidR="004C6187">
              <w:t>ing</w:t>
            </w:r>
            <w:r w:rsidR="00CB3804">
              <w:t xml:space="preserve"> of the fluid oil and gas waste, treated </w:t>
            </w:r>
            <w:r w:rsidR="00D926C4">
              <w:t>waste</w:t>
            </w:r>
            <w:r w:rsidR="00CB3804">
              <w:t>, or byproduct in conformity with</w:t>
            </w:r>
            <w:r>
              <w:t xml:space="preserve"> </w:t>
            </w:r>
            <w:r w:rsidR="004C6187">
              <w:t xml:space="preserve">applicable </w:t>
            </w:r>
            <w:r w:rsidR="004C6187" w:rsidRPr="004C6187">
              <w:t xml:space="preserve">Railroad Commission of </w:t>
            </w:r>
            <w:r w:rsidR="004C6187" w:rsidRPr="00824DBF">
              <w:t xml:space="preserve">Texas (RRC) </w:t>
            </w:r>
            <w:r w:rsidR="00CB3804" w:rsidRPr="00824DBF">
              <w:t xml:space="preserve">rules </w:t>
            </w:r>
            <w:r w:rsidR="00CB3804">
              <w:t>or</w:t>
            </w:r>
            <w:r>
              <w:t xml:space="preserve"> with </w:t>
            </w:r>
            <w:r w:rsidR="00CB3804">
              <w:t>a</w:t>
            </w:r>
            <w:r>
              <w:t>n applicable</w:t>
            </w:r>
            <w:r w:rsidR="00CB3804">
              <w:t xml:space="preserve"> Texas Pollutant Discharge Elimination System program permit issued by the Texas Commission on Environmental Quality</w:t>
            </w:r>
            <w:r w:rsidRPr="000F7E26">
              <w:t>.</w:t>
            </w:r>
          </w:p>
          <w:p w14:paraId="01DEE7D3" w14:textId="22CC400C" w:rsidR="00CB3804" w:rsidRDefault="0086461B" w:rsidP="005A5C42">
            <w:pPr>
              <w:pStyle w:val="Header"/>
              <w:tabs>
                <w:tab w:val="clear" w:pos="4320"/>
                <w:tab w:val="clear" w:pos="8640"/>
              </w:tabs>
              <w:jc w:val="both"/>
            </w:pPr>
            <w:r>
              <w:t>The bill prohibits a</w:t>
            </w:r>
            <w:r w:rsidRPr="0050556B">
              <w:t xml:space="preserve"> claimant awarded damages for a tort premised solely on the </w:t>
            </w:r>
            <w:r w:rsidR="00013A4A">
              <w:t xml:space="preserve">liable </w:t>
            </w:r>
            <w:r w:rsidRPr="0050556B">
              <w:t>person's negligence and regulatory nonconformity</w:t>
            </w:r>
            <w:r>
              <w:t xml:space="preserve"> </w:t>
            </w:r>
            <w:r w:rsidR="0008264F">
              <w:t xml:space="preserve">under the bill </w:t>
            </w:r>
            <w:r>
              <w:t>from</w:t>
            </w:r>
            <w:r w:rsidRPr="0050556B">
              <w:t xml:space="preserve"> be</w:t>
            </w:r>
            <w:r>
              <w:t>ing</w:t>
            </w:r>
            <w:r w:rsidRPr="0050556B">
              <w:t xml:space="preserve"> awarded exemplary damages.</w:t>
            </w:r>
            <w:r>
              <w:t xml:space="preserve"> </w:t>
            </w:r>
          </w:p>
          <w:p w14:paraId="2AA3D49C" w14:textId="663A6A71" w:rsidR="00CB3804" w:rsidRDefault="00CB3804" w:rsidP="005A5C42">
            <w:pPr>
              <w:pStyle w:val="Header"/>
              <w:tabs>
                <w:tab w:val="clear" w:pos="4320"/>
                <w:tab w:val="clear" w:pos="8640"/>
              </w:tabs>
              <w:jc w:val="both"/>
            </w:pPr>
          </w:p>
          <w:p w14:paraId="5CBB6862" w14:textId="4EF64508" w:rsidR="0050556B" w:rsidRDefault="0086461B" w:rsidP="005A5C42">
            <w:pPr>
              <w:pStyle w:val="Header"/>
              <w:tabs>
                <w:tab w:val="clear" w:pos="4320"/>
                <w:tab w:val="clear" w:pos="8640"/>
              </w:tabs>
              <w:jc w:val="both"/>
            </w:pPr>
            <w:r>
              <w:t xml:space="preserve">C.S.H.B. 49 </w:t>
            </w:r>
            <w:r w:rsidRPr="00D926C4">
              <w:t xml:space="preserve">specifies that </w:t>
            </w:r>
            <w:r>
              <w:t>the oil and gas waste</w:t>
            </w:r>
            <w:r>
              <w:t xml:space="preserve"> for which the RRC is required to adopt rules to govern treatment and beneficial use is fluid oil and gas waste</w:t>
            </w:r>
            <w:r w:rsidR="0008264F">
              <w:t xml:space="preserve"> and</w:t>
            </w:r>
            <w:r>
              <w:t xml:space="preserve"> requires the RRC to adopt rules to </w:t>
            </w:r>
            <w:r w:rsidRPr="0050556B">
              <w:t xml:space="preserve">govern the treatment and beneficial use </w:t>
            </w:r>
            <w:r w:rsidR="0008264F">
              <w:t>also</w:t>
            </w:r>
            <w:r w:rsidR="0008264F" w:rsidRPr="0050556B">
              <w:t xml:space="preserve"> </w:t>
            </w:r>
            <w:r w:rsidRPr="0050556B">
              <w:t>of</w:t>
            </w:r>
            <w:r>
              <w:t xml:space="preserve"> </w:t>
            </w:r>
            <w:r w:rsidRPr="0050556B">
              <w:t xml:space="preserve">treated </w:t>
            </w:r>
            <w:r w:rsidR="00D926C4">
              <w:t>waste</w:t>
            </w:r>
            <w:r w:rsidRPr="0050556B">
              <w:t xml:space="preserve"> and any byproduct of a process used to generate treated </w:t>
            </w:r>
            <w:r w:rsidR="00D926C4">
              <w:t>waste</w:t>
            </w:r>
            <w:r>
              <w:t>.</w:t>
            </w:r>
          </w:p>
          <w:p w14:paraId="6DCB9DDB" w14:textId="77777777" w:rsidR="00824DBF" w:rsidRDefault="00824DBF" w:rsidP="005A5C42">
            <w:pPr>
              <w:pStyle w:val="Header"/>
              <w:tabs>
                <w:tab w:val="clear" w:pos="4320"/>
                <w:tab w:val="clear" w:pos="8640"/>
              </w:tabs>
              <w:jc w:val="both"/>
            </w:pPr>
          </w:p>
          <w:p w14:paraId="59EF53F2" w14:textId="58C31294" w:rsidR="003D7697" w:rsidRPr="009C36CD" w:rsidRDefault="0086461B" w:rsidP="005A5C42">
            <w:pPr>
              <w:pStyle w:val="Header"/>
              <w:tabs>
                <w:tab w:val="clear" w:pos="4320"/>
                <w:tab w:val="clear" w:pos="8640"/>
              </w:tabs>
              <w:jc w:val="both"/>
            </w:pPr>
            <w:r>
              <w:t>C.S.</w:t>
            </w:r>
            <w:r w:rsidR="00824DBF">
              <w:t xml:space="preserve">H.B. </w:t>
            </w:r>
            <w:r>
              <w:t>49</w:t>
            </w:r>
            <w:r w:rsidR="00824DBF">
              <w:t xml:space="preserve"> </w:t>
            </w:r>
            <w:r w:rsidR="00824DBF" w:rsidRPr="00824DBF">
              <w:t>applies only to a cause of action that accrues on or after the</w:t>
            </w:r>
            <w:r w:rsidR="00824DBF">
              <w:t xml:space="preserve"> bill's</w:t>
            </w:r>
            <w:r w:rsidR="00824DBF" w:rsidRPr="00824DBF">
              <w:t xml:space="preserve"> effective date. A cause of action that accrues before the </w:t>
            </w:r>
            <w:r w:rsidR="00824DBF">
              <w:t xml:space="preserve">bill's </w:t>
            </w:r>
            <w:r w:rsidR="00824DBF" w:rsidRPr="00824DBF">
              <w:t xml:space="preserve">effective date is governed by the law as it existed immediately before the </w:t>
            </w:r>
            <w:r w:rsidR="00824DBF">
              <w:t xml:space="preserve">bill's </w:t>
            </w:r>
            <w:r w:rsidR="00824DBF" w:rsidRPr="00824DBF">
              <w:t>effective date</w:t>
            </w:r>
            <w:r w:rsidR="00013A4A">
              <w:t>,</w:t>
            </w:r>
            <w:r w:rsidR="00824DBF" w:rsidRPr="00824DBF">
              <w:t xml:space="preserve"> and that law is continued in effect for that purpose.</w:t>
            </w:r>
          </w:p>
          <w:p w14:paraId="114B42E3" w14:textId="77777777" w:rsidR="008423E4" w:rsidRPr="00835628" w:rsidRDefault="008423E4" w:rsidP="005A5C42">
            <w:pPr>
              <w:rPr>
                <w:b/>
              </w:rPr>
            </w:pPr>
          </w:p>
        </w:tc>
      </w:tr>
      <w:tr w:rsidR="00855249" w14:paraId="7D732172" w14:textId="77777777" w:rsidTr="00345119">
        <w:tc>
          <w:tcPr>
            <w:tcW w:w="9576" w:type="dxa"/>
          </w:tcPr>
          <w:p w14:paraId="4C97370D" w14:textId="77777777" w:rsidR="008423E4" w:rsidRPr="00BA24B6" w:rsidRDefault="0086461B" w:rsidP="005A5C42">
            <w:pPr>
              <w:rPr>
                <w:b/>
              </w:rPr>
            </w:pPr>
            <w:r w:rsidRPr="00BA24B6">
              <w:rPr>
                <w:b/>
                <w:u w:val="single"/>
              </w:rPr>
              <w:t>EFFECTIVE DATE</w:t>
            </w:r>
            <w:r w:rsidRPr="00BA24B6">
              <w:rPr>
                <w:b/>
              </w:rPr>
              <w:t xml:space="preserve"> </w:t>
            </w:r>
          </w:p>
          <w:p w14:paraId="6027BBB9" w14:textId="77777777" w:rsidR="008423E4" w:rsidRDefault="008423E4" w:rsidP="005A5C42"/>
          <w:p w14:paraId="6F59856A" w14:textId="5C390301" w:rsidR="008423E4" w:rsidRPr="003624F2" w:rsidRDefault="0086461B" w:rsidP="005A5C42">
            <w:pPr>
              <w:pStyle w:val="Header"/>
              <w:tabs>
                <w:tab w:val="clear" w:pos="4320"/>
                <w:tab w:val="clear" w:pos="8640"/>
              </w:tabs>
              <w:jc w:val="both"/>
            </w:pPr>
            <w:r>
              <w:t>September 1, 2025.</w:t>
            </w:r>
          </w:p>
          <w:p w14:paraId="58603236" w14:textId="77777777" w:rsidR="008423E4" w:rsidRPr="00233FDB" w:rsidRDefault="008423E4" w:rsidP="005A5C42">
            <w:pPr>
              <w:rPr>
                <w:b/>
              </w:rPr>
            </w:pPr>
          </w:p>
        </w:tc>
      </w:tr>
      <w:tr w:rsidR="00855249" w14:paraId="667C0A61" w14:textId="77777777" w:rsidTr="00345119">
        <w:tc>
          <w:tcPr>
            <w:tcW w:w="9576" w:type="dxa"/>
          </w:tcPr>
          <w:p w14:paraId="02CAA3D3" w14:textId="77777777" w:rsidR="003E169A" w:rsidRDefault="0086461B" w:rsidP="003E169A">
            <w:pPr>
              <w:jc w:val="both"/>
              <w:rPr>
                <w:b/>
                <w:u w:val="single"/>
              </w:rPr>
            </w:pPr>
            <w:r>
              <w:rPr>
                <w:b/>
                <w:u w:val="single"/>
              </w:rPr>
              <w:t>COMPARISON OF INTRODUCED AND SUBSTITUTE</w:t>
            </w:r>
          </w:p>
          <w:p w14:paraId="154217E2" w14:textId="77777777" w:rsidR="005E619A" w:rsidRDefault="005E619A" w:rsidP="003E169A">
            <w:pPr>
              <w:jc w:val="both"/>
              <w:rPr>
                <w:b/>
                <w:u w:val="single"/>
              </w:rPr>
            </w:pPr>
          </w:p>
          <w:p w14:paraId="3035E474" w14:textId="77777777" w:rsidR="00252BE4" w:rsidRDefault="0086461B" w:rsidP="00252BE4">
            <w:pPr>
              <w:jc w:val="both"/>
            </w:pPr>
            <w:r>
              <w:t xml:space="preserve">While C.S.H.B. 49 may differ from the introduced in minor or nonsubstantive ways, the following </w:t>
            </w:r>
            <w:r>
              <w:t>summarizes the substantial differences between the introduced and committee substitute versions of the bill.</w:t>
            </w:r>
          </w:p>
          <w:p w14:paraId="1E8A0963" w14:textId="77777777" w:rsidR="00252BE4" w:rsidRDefault="00252BE4" w:rsidP="00252BE4">
            <w:pPr>
              <w:jc w:val="both"/>
            </w:pPr>
          </w:p>
          <w:p w14:paraId="3096ED3D" w14:textId="77777777" w:rsidR="00252BE4" w:rsidRDefault="0086461B" w:rsidP="00252BE4">
            <w:pPr>
              <w:jc w:val="both"/>
            </w:pPr>
            <w:r w:rsidRPr="00D367BE">
              <w:t xml:space="preserve">The substitute omits the provisions from the introduced that did </w:t>
            </w:r>
            <w:r>
              <w:t>the following:</w:t>
            </w:r>
          </w:p>
          <w:p w14:paraId="29180192" w14:textId="77777777" w:rsidR="00252BE4" w:rsidRDefault="0086461B" w:rsidP="00252BE4">
            <w:pPr>
              <w:pStyle w:val="ListParagraph"/>
              <w:numPr>
                <w:ilvl w:val="0"/>
                <w:numId w:val="5"/>
              </w:numPr>
              <w:jc w:val="both"/>
            </w:pPr>
            <w:r w:rsidRPr="00D367BE">
              <w:t>revise</w:t>
            </w:r>
            <w:r>
              <w:t>d</w:t>
            </w:r>
            <w:r w:rsidRPr="00D367BE">
              <w:t xml:space="preserve"> provisions relating to the ownership of fluid oil and gas waste that is transferred for treatment and subsequent beneficial use by changing the specified purpose for which a person takes possession of the waste from treating the waste for a subsequent beneficial use to generating treated product</w:t>
            </w:r>
            <w:r>
              <w:t>; and</w:t>
            </w:r>
          </w:p>
          <w:p w14:paraId="190111A9" w14:textId="77777777" w:rsidR="00252BE4" w:rsidRDefault="0086461B" w:rsidP="00252BE4">
            <w:pPr>
              <w:pStyle w:val="ListParagraph"/>
              <w:numPr>
                <w:ilvl w:val="0"/>
                <w:numId w:val="5"/>
              </w:numPr>
              <w:jc w:val="both"/>
            </w:pPr>
            <w:r>
              <w:t>defined "t</w:t>
            </w:r>
            <w:r w:rsidRPr="00D367BE">
              <w:t>reated product</w:t>
            </w:r>
            <w:r>
              <w:t xml:space="preserve">" </w:t>
            </w:r>
            <w:r w:rsidRPr="00D367BE">
              <w:t>as the product of a process that treats, filters, refines, extracts, or otherwise alters any portion or component of fluid oil and gas waste to render it suitable for a beneficial use.</w:t>
            </w:r>
          </w:p>
          <w:p w14:paraId="590F4F25" w14:textId="77777777" w:rsidR="00252BE4" w:rsidRDefault="00252BE4" w:rsidP="00252BE4">
            <w:pPr>
              <w:jc w:val="both"/>
            </w:pPr>
          </w:p>
          <w:p w14:paraId="3B5C149C" w14:textId="77777777" w:rsidR="00252BE4" w:rsidRDefault="0086461B" w:rsidP="00252BE4">
            <w:pPr>
              <w:jc w:val="both"/>
            </w:pPr>
            <w:r>
              <w:t xml:space="preserve">While both the introduced and the substitute revise the </w:t>
            </w:r>
            <w:r w:rsidRPr="007A2147">
              <w:t>general exemption from liability in tort for a consequence of the subsequent use of a treated item granted to a person who takes possession of fluid oil and gas waste, produces a treated item from the waste, and transfers the treated item to another person with a certain contractual understanding regarding its use</w:t>
            </w:r>
            <w:r>
              <w:t>, the introduced retained the statutory treated item as a treated product, whereas the substitute changes the treated item from a treated product to treated waste and makes conforming changes throu</w:t>
            </w:r>
            <w:r>
              <w:t xml:space="preserve">ghout the bill to reflect this change. The substitute includes a specification that is not in the introduced that </w:t>
            </w:r>
            <w:r w:rsidRPr="007A2147">
              <w:t>the taking of possession of fluid oil and gas waste is for treatment</w:t>
            </w:r>
            <w:r>
              <w:t>.</w:t>
            </w:r>
          </w:p>
          <w:p w14:paraId="568F7A2A" w14:textId="77777777" w:rsidR="00252BE4" w:rsidRDefault="00252BE4" w:rsidP="00252BE4">
            <w:pPr>
              <w:jc w:val="both"/>
            </w:pPr>
          </w:p>
          <w:p w14:paraId="594E80C3" w14:textId="77777777" w:rsidR="00252BE4" w:rsidRDefault="0086461B" w:rsidP="00252BE4">
            <w:pPr>
              <w:jc w:val="both"/>
            </w:pPr>
            <w:r>
              <w:t xml:space="preserve">With regard to the bill's exemption for a person who produces fluid oil and gas waste or who supplies or conveys fluid oil and gas waste to a treatment facility for the purpose of generating an applicable treated item </w:t>
            </w:r>
            <w:r w:rsidRPr="00ED1533">
              <w:t>from liability in tort</w:t>
            </w:r>
            <w:r>
              <w:t xml:space="preserve"> for, among other things, exposure to an applicable process byproduct, the substitute includes the following which were not included in the introduced:</w:t>
            </w:r>
          </w:p>
          <w:p w14:paraId="33AE9B12" w14:textId="77777777" w:rsidR="00252BE4" w:rsidRDefault="0086461B" w:rsidP="00252BE4">
            <w:pPr>
              <w:pStyle w:val="ListParagraph"/>
              <w:numPr>
                <w:ilvl w:val="0"/>
                <w:numId w:val="6"/>
              </w:numPr>
              <w:jc w:val="both"/>
            </w:pPr>
            <w:r>
              <w:t xml:space="preserve">a specification that such an exempt person </w:t>
            </w:r>
            <w:r w:rsidRPr="00ED1533">
              <w:t>includ</w:t>
            </w:r>
            <w:r>
              <w:t>es</w:t>
            </w:r>
            <w:r w:rsidRPr="00ED1533">
              <w:t xml:space="preserve"> an owner of the surface estate of real property</w:t>
            </w:r>
            <w:r>
              <w:t>; and</w:t>
            </w:r>
          </w:p>
          <w:p w14:paraId="4C7FE066" w14:textId="3A806434" w:rsidR="00252BE4" w:rsidRDefault="0086461B" w:rsidP="00252BE4">
            <w:pPr>
              <w:pStyle w:val="ListParagraph"/>
              <w:numPr>
                <w:ilvl w:val="0"/>
                <w:numId w:val="6"/>
              </w:numPr>
              <w:jc w:val="both"/>
            </w:pPr>
            <w:r w:rsidRPr="00761C4E">
              <w:t xml:space="preserve">exposure to any </w:t>
            </w:r>
            <w:r w:rsidRPr="00761C4E">
              <w:t>component of the waste</w:t>
            </w:r>
            <w:r>
              <w:t>.</w:t>
            </w:r>
          </w:p>
          <w:p w14:paraId="60D0813E" w14:textId="77777777" w:rsidR="00252BE4" w:rsidRDefault="00252BE4" w:rsidP="00252BE4">
            <w:pPr>
              <w:jc w:val="both"/>
            </w:pPr>
          </w:p>
          <w:p w14:paraId="094A7D40" w14:textId="39FB1FB6" w:rsidR="00252BE4" w:rsidRDefault="0086461B" w:rsidP="00252BE4">
            <w:pPr>
              <w:jc w:val="both"/>
              <w:rPr>
                <w:b/>
                <w:u w:val="single"/>
              </w:rPr>
            </w:pPr>
            <w:r>
              <w:t xml:space="preserve">The substitute includes an exemption that is not included in the introduced for, except as otherwise provided by the bill, </w:t>
            </w:r>
            <w:r w:rsidRPr="00761C4E">
              <w:t>an owner of the surface estate of real property on or under which fluid oil and gas waste is produced, conveyed, or transported from liability in an action for damages for personal injury, death, or property damage arising from exposure to fluid oil and gas waste, treated waste, or a byproduct of a process used to generate treated waste.</w:t>
            </w:r>
          </w:p>
          <w:p w14:paraId="5328FCEE" w14:textId="44296313" w:rsidR="00252BE4" w:rsidRPr="003E169A" w:rsidRDefault="00252BE4" w:rsidP="003E169A">
            <w:pPr>
              <w:jc w:val="both"/>
              <w:rPr>
                <w:b/>
                <w:u w:val="single"/>
              </w:rPr>
            </w:pPr>
          </w:p>
        </w:tc>
      </w:tr>
      <w:tr w:rsidR="00855249" w14:paraId="4A3FF516" w14:textId="77777777" w:rsidTr="00345119">
        <w:tc>
          <w:tcPr>
            <w:tcW w:w="9576" w:type="dxa"/>
          </w:tcPr>
          <w:p w14:paraId="07FE84F9" w14:textId="77777777" w:rsidR="00E40C3B" w:rsidRPr="009C1E9A" w:rsidRDefault="00E40C3B" w:rsidP="005A5C42">
            <w:pPr>
              <w:rPr>
                <w:b/>
                <w:u w:val="single"/>
              </w:rPr>
            </w:pPr>
          </w:p>
        </w:tc>
      </w:tr>
      <w:tr w:rsidR="00855249" w14:paraId="53C8E390" w14:textId="77777777" w:rsidTr="00345119">
        <w:tc>
          <w:tcPr>
            <w:tcW w:w="9576" w:type="dxa"/>
          </w:tcPr>
          <w:p w14:paraId="23F6F2AF" w14:textId="77777777" w:rsidR="00E40C3B" w:rsidRPr="003E169A" w:rsidRDefault="00E40C3B" w:rsidP="003E169A">
            <w:pPr>
              <w:spacing w:line="480" w:lineRule="auto"/>
              <w:jc w:val="both"/>
            </w:pPr>
          </w:p>
        </w:tc>
      </w:tr>
      <w:tr w:rsidR="00855249" w14:paraId="566A5A95" w14:textId="77777777" w:rsidTr="00345119">
        <w:tc>
          <w:tcPr>
            <w:tcW w:w="9576" w:type="dxa"/>
          </w:tcPr>
          <w:p w14:paraId="504DDED4" w14:textId="77777777" w:rsidR="003E169A" w:rsidRPr="00E40C3B" w:rsidRDefault="003E169A" w:rsidP="005A5C42">
            <w:pPr>
              <w:jc w:val="both"/>
            </w:pPr>
          </w:p>
        </w:tc>
      </w:tr>
      <w:tr w:rsidR="00855249" w14:paraId="4CFF86AE" w14:textId="77777777" w:rsidTr="00345119">
        <w:tc>
          <w:tcPr>
            <w:tcW w:w="9576" w:type="dxa"/>
          </w:tcPr>
          <w:p w14:paraId="3643401E" w14:textId="77777777" w:rsidR="003E169A" w:rsidRPr="00E40C3B" w:rsidRDefault="003E169A" w:rsidP="005A5C42">
            <w:pPr>
              <w:jc w:val="both"/>
            </w:pPr>
          </w:p>
        </w:tc>
      </w:tr>
      <w:tr w:rsidR="00855249" w14:paraId="2B6E5E6E" w14:textId="77777777" w:rsidTr="00345119">
        <w:tc>
          <w:tcPr>
            <w:tcW w:w="9576" w:type="dxa"/>
          </w:tcPr>
          <w:p w14:paraId="5400529E" w14:textId="77777777" w:rsidR="003E169A" w:rsidRPr="00E40C3B" w:rsidRDefault="003E169A" w:rsidP="005A5C42">
            <w:pPr>
              <w:jc w:val="both"/>
            </w:pPr>
          </w:p>
        </w:tc>
      </w:tr>
    </w:tbl>
    <w:p w14:paraId="44D71ED4" w14:textId="77777777" w:rsidR="008423E4" w:rsidRPr="00BE0E75" w:rsidRDefault="008423E4" w:rsidP="005A5C42">
      <w:pPr>
        <w:jc w:val="both"/>
        <w:rPr>
          <w:rFonts w:ascii="Arial" w:hAnsi="Arial"/>
          <w:sz w:val="16"/>
          <w:szCs w:val="16"/>
        </w:rPr>
      </w:pPr>
    </w:p>
    <w:p w14:paraId="0BC69425" w14:textId="77777777" w:rsidR="004108C3" w:rsidRPr="008423E4" w:rsidRDefault="004108C3" w:rsidP="005A5C4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490C" w14:textId="77777777" w:rsidR="0086461B" w:rsidRDefault="0086461B">
      <w:r>
        <w:separator/>
      </w:r>
    </w:p>
  </w:endnote>
  <w:endnote w:type="continuationSeparator" w:id="0">
    <w:p w14:paraId="74743FCC" w14:textId="77777777" w:rsidR="0086461B" w:rsidRDefault="0086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604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55249" w14:paraId="550F263F" w14:textId="77777777" w:rsidTr="009C1E9A">
      <w:trPr>
        <w:cantSplit/>
      </w:trPr>
      <w:tc>
        <w:tcPr>
          <w:tcW w:w="0" w:type="pct"/>
        </w:tcPr>
        <w:p w14:paraId="01FB93EF" w14:textId="77777777" w:rsidR="00137D90" w:rsidRDefault="00137D90" w:rsidP="009C1E9A">
          <w:pPr>
            <w:pStyle w:val="Footer"/>
            <w:tabs>
              <w:tab w:val="clear" w:pos="8640"/>
              <w:tab w:val="right" w:pos="9360"/>
            </w:tabs>
          </w:pPr>
        </w:p>
      </w:tc>
      <w:tc>
        <w:tcPr>
          <w:tcW w:w="2395" w:type="pct"/>
        </w:tcPr>
        <w:p w14:paraId="2B66D978" w14:textId="77777777" w:rsidR="00137D90" w:rsidRDefault="00137D90" w:rsidP="009C1E9A">
          <w:pPr>
            <w:pStyle w:val="Footer"/>
            <w:tabs>
              <w:tab w:val="clear" w:pos="8640"/>
              <w:tab w:val="right" w:pos="9360"/>
            </w:tabs>
          </w:pPr>
        </w:p>
        <w:p w14:paraId="23B1996E" w14:textId="77777777" w:rsidR="001A4310" w:rsidRDefault="001A4310" w:rsidP="009C1E9A">
          <w:pPr>
            <w:pStyle w:val="Footer"/>
            <w:tabs>
              <w:tab w:val="clear" w:pos="8640"/>
              <w:tab w:val="right" w:pos="9360"/>
            </w:tabs>
          </w:pPr>
        </w:p>
        <w:p w14:paraId="6F57CA5A" w14:textId="77777777" w:rsidR="00137D90" w:rsidRDefault="00137D90" w:rsidP="009C1E9A">
          <w:pPr>
            <w:pStyle w:val="Footer"/>
            <w:tabs>
              <w:tab w:val="clear" w:pos="8640"/>
              <w:tab w:val="right" w:pos="9360"/>
            </w:tabs>
          </w:pPr>
        </w:p>
      </w:tc>
      <w:tc>
        <w:tcPr>
          <w:tcW w:w="2453" w:type="pct"/>
        </w:tcPr>
        <w:p w14:paraId="15FAE425" w14:textId="77777777" w:rsidR="00137D90" w:rsidRDefault="00137D90" w:rsidP="009C1E9A">
          <w:pPr>
            <w:pStyle w:val="Footer"/>
            <w:tabs>
              <w:tab w:val="clear" w:pos="8640"/>
              <w:tab w:val="right" w:pos="9360"/>
            </w:tabs>
            <w:jc w:val="right"/>
          </w:pPr>
        </w:p>
      </w:tc>
    </w:tr>
    <w:tr w:rsidR="00855249" w14:paraId="2B385AC1" w14:textId="77777777" w:rsidTr="009C1E9A">
      <w:trPr>
        <w:cantSplit/>
      </w:trPr>
      <w:tc>
        <w:tcPr>
          <w:tcW w:w="0" w:type="pct"/>
        </w:tcPr>
        <w:p w14:paraId="413B31AD" w14:textId="77777777" w:rsidR="00EC379B" w:rsidRDefault="00EC379B" w:rsidP="009C1E9A">
          <w:pPr>
            <w:pStyle w:val="Footer"/>
            <w:tabs>
              <w:tab w:val="clear" w:pos="8640"/>
              <w:tab w:val="right" w:pos="9360"/>
            </w:tabs>
          </w:pPr>
        </w:p>
      </w:tc>
      <w:tc>
        <w:tcPr>
          <w:tcW w:w="2395" w:type="pct"/>
        </w:tcPr>
        <w:p w14:paraId="16ED9E2E" w14:textId="397F74AC" w:rsidR="00EC379B" w:rsidRPr="009C1E9A" w:rsidRDefault="0086461B" w:rsidP="009C1E9A">
          <w:pPr>
            <w:pStyle w:val="Footer"/>
            <w:tabs>
              <w:tab w:val="clear" w:pos="8640"/>
              <w:tab w:val="right" w:pos="9360"/>
            </w:tabs>
            <w:rPr>
              <w:rFonts w:ascii="Shruti" w:hAnsi="Shruti"/>
              <w:sz w:val="22"/>
            </w:rPr>
          </w:pPr>
          <w:r>
            <w:rPr>
              <w:rFonts w:ascii="Shruti" w:hAnsi="Shruti"/>
              <w:sz w:val="22"/>
            </w:rPr>
            <w:t>89R 25344-D</w:t>
          </w:r>
        </w:p>
      </w:tc>
      <w:tc>
        <w:tcPr>
          <w:tcW w:w="2453" w:type="pct"/>
        </w:tcPr>
        <w:p w14:paraId="34DA0681" w14:textId="5389934C" w:rsidR="00EC379B" w:rsidRDefault="0086461B" w:rsidP="009C1E9A">
          <w:pPr>
            <w:pStyle w:val="Footer"/>
            <w:tabs>
              <w:tab w:val="clear" w:pos="8640"/>
              <w:tab w:val="right" w:pos="9360"/>
            </w:tabs>
            <w:jc w:val="right"/>
          </w:pPr>
          <w:r>
            <w:fldChar w:fldCharType="begin"/>
          </w:r>
          <w:r>
            <w:instrText xml:space="preserve"> DOCPROPERTY  OTID  \* MERGEFORMAT </w:instrText>
          </w:r>
          <w:r>
            <w:fldChar w:fldCharType="separate"/>
          </w:r>
          <w:r w:rsidR="00CA7653">
            <w:t>25.108.399</w:t>
          </w:r>
          <w:r>
            <w:fldChar w:fldCharType="end"/>
          </w:r>
        </w:p>
      </w:tc>
    </w:tr>
    <w:tr w:rsidR="00855249" w14:paraId="20932C14" w14:textId="77777777" w:rsidTr="009C1E9A">
      <w:trPr>
        <w:cantSplit/>
      </w:trPr>
      <w:tc>
        <w:tcPr>
          <w:tcW w:w="0" w:type="pct"/>
        </w:tcPr>
        <w:p w14:paraId="2BFE7A6D" w14:textId="77777777" w:rsidR="00EC379B" w:rsidRDefault="00EC379B" w:rsidP="009C1E9A">
          <w:pPr>
            <w:pStyle w:val="Footer"/>
            <w:tabs>
              <w:tab w:val="clear" w:pos="4320"/>
              <w:tab w:val="clear" w:pos="8640"/>
              <w:tab w:val="left" w:pos="2865"/>
            </w:tabs>
          </w:pPr>
        </w:p>
      </w:tc>
      <w:tc>
        <w:tcPr>
          <w:tcW w:w="2395" w:type="pct"/>
        </w:tcPr>
        <w:p w14:paraId="5CAB790B" w14:textId="21D9BC47" w:rsidR="00EC379B" w:rsidRPr="009C1E9A" w:rsidRDefault="0086461B" w:rsidP="009C1E9A">
          <w:pPr>
            <w:pStyle w:val="Footer"/>
            <w:tabs>
              <w:tab w:val="clear" w:pos="4320"/>
              <w:tab w:val="clear" w:pos="8640"/>
              <w:tab w:val="left" w:pos="2865"/>
            </w:tabs>
            <w:rPr>
              <w:rFonts w:ascii="Shruti" w:hAnsi="Shruti"/>
              <w:sz w:val="22"/>
            </w:rPr>
          </w:pPr>
          <w:r>
            <w:rPr>
              <w:rFonts w:ascii="Shruti" w:hAnsi="Shruti"/>
              <w:sz w:val="22"/>
            </w:rPr>
            <w:t>Substitute Document Number: 89R 25172</w:t>
          </w:r>
        </w:p>
      </w:tc>
      <w:tc>
        <w:tcPr>
          <w:tcW w:w="2453" w:type="pct"/>
        </w:tcPr>
        <w:p w14:paraId="394F85D8" w14:textId="77777777" w:rsidR="00EC379B" w:rsidRDefault="00EC379B" w:rsidP="006D504F">
          <w:pPr>
            <w:pStyle w:val="Footer"/>
            <w:rPr>
              <w:rStyle w:val="PageNumber"/>
            </w:rPr>
          </w:pPr>
        </w:p>
        <w:p w14:paraId="3ACE8A0F" w14:textId="77777777" w:rsidR="00EC379B" w:rsidRDefault="00EC379B" w:rsidP="009C1E9A">
          <w:pPr>
            <w:pStyle w:val="Footer"/>
            <w:tabs>
              <w:tab w:val="clear" w:pos="8640"/>
              <w:tab w:val="right" w:pos="9360"/>
            </w:tabs>
            <w:jc w:val="right"/>
          </w:pPr>
        </w:p>
      </w:tc>
    </w:tr>
    <w:tr w:rsidR="00855249" w14:paraId="37D99AE2" w14:textId="77777777" w:rsidTr="009C1E9A">
      <w:trPr>
        <w:cantSplit/>
        <w:trHeight w:val="323"/>
      </w:trPr>
      <w:tc>
        <w:tcPr>
          <w:tcW w:w="0" w:type="pct"/>
          <w:gridSpan w:val="3"/>
        </w:tcPr>
        <w:p w14:paraId="490ED1CF" w14:textId="77777777" w:rsidR="00EC379B" w:rsidRDefault="0086461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893C42B" w14:textId="77777777" w:rsidR="00EC379B" w:rsidRDefault="00EC379B" w:rsidP="009C1E9A">
          <w:pPr>
            <w:pStyle w:val="Footer"/>
            <w:tabs>
              <w:tab w:val="clear" w:pos="8640"/>
              <w:tab w:val="right" w:pos="9360"/>
            </w:tabs>
            <w:jc w:val="center"/>
          </w:pPr>
        </w:p>
      </w:tc>
    </w:tr>
  </w:tbl>
  <w:p w14:paraId="3217B43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450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FB0C" w14:textId="77777777" w:rsidR="0086461B" w:rsidRDefault="0086461B">
      <w:r>
        <w:separator/>
      </w:r>
    </w:p>
  </w:footnote>
  <w:footnote w:type="continuationSeparator" w:id="0">
    <w:p w14:paraId="06C2609F" w14:textId="77777777" w:rsidR="0086461B" w:rsidRDefault="0086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45A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85E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931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50936"/>
    <w:multiLevelType w:val="hybridMultilevel"/>
    <w:tmpl w:val="40625C82"/>
    <w:lvl w:ilvl="0" w:tplc="182EFF14">
      <w:start w:val="1"/>
      <w:numFmt w:val="bullet"/>
      <w:lvlText w:val=""/>
      <w:lvlJc w:val="left"/>
      <w:pPr>
        <w:tabs>
          <w:tab w:val="num" w:pos="720"/>
        </w:tabs>
        <w:ind w:left="720" w:hanging="360"/>
      </w:pPr>
      <w:rPr>
        <w:rFonts w:ascii="Symbol" w:hAnsi="Symbol" w:hint="default"/>
      </w:rPr>
    </w:lvl>
    <w:lvl w:ilvl="1" w:tplc="277AFD52" w:tentative="1">
      <w:start w:val="1"/>
      <w:numFmt w:val="bullet"/>
      <w:lvlText w:val="o"/>
      <w:lvlJc w:val="left"/>
      <w:pPr>
        <w:ind w:left="1440" w:hanging="360"/>
      </w:pPr>
      <w:rPr>
        <w:rFonts w:ascii="Courier New" w:hAnsi="Courier New" w:cs="Courier New" w:hint="default"/>
      </w:rPr>
    </w:lvl>
    <w:lvl w:ilvl="2" w:tplc="E924C780" w:tentative="1">
      <w:start w:val="1"/>
      <w:numFmt w:val="bullet"/>
      <w:lvlText w:val=""/>
      <w:lvlJc w:val="left"/>
      <w:pPr>
        <w:ind w:left="2160" w:hanging="360"/>
      </w:pPr>
      <w:rPr>
        <w:rFonts w:ascii="Wingdings" w:hAnsi="Wingdings" w:hint="default"/>
      </w:rPr>
    </w:lvl>
    <w:lvl w:ilvl="3" w:tplc="36409ADA" w:tentative="1">
      <w:start w:val="1"/>
      <w:numFmt w:val="bullet"/>
      <w:lvlText w:val=""/>
      <w:lvlJc w:val="left"/>
      <w:pPr>
        <w:ind w:left="2880" w:hanging="360"/>
      </w:pPr>
      <w:rPr>
        <w:rFonts w:ascii="Symbol" w:hAnsi="Symbol" w:hint="default"/>
      </w:rPr>
    </w:lvl>
    <w:lvl w:ilvl="4" w:tplc="47841B4A" w:tentative="1">
      <w:start w:val="1"/>
      <w:numFmt w:val="bullet"/>
      <w:lvlText w:val="o"/>
      <w:lvlJc w:val="left"/>
      <w:pPr>
        <w:ind w:left="3600" w:hanging="360"/>
      </w:pPr>
      <w:rPr>
        <w:rFonts w:ascii="Courier New" w:hAnsi="Courier New" w:cs="Courier New" w:hint="default"/>
      </w:rPr>
    </w:lvl>
    <w:lvl w:ilvl="5" w:tplc="242AB9F4" w:tentative="1">
      <w:start w:val="1"/>
      <w:numFmt w:val="bullet"/>
      <w:lvlText w:val=""/>
      <w:lvlJc w:val="left"/>
      <w:pPr>
        <w:ind w:left="4320" w:hanging="360"/>
      </w:pPr>
      <w:rPr>
        <w:rFonts w:ascii="Wingdings" w:hAnsi="Wingdings" w:hint="default"/>
      </w:rPr>
    </w:lvl>
    <w:lvl w:ilvl="6" w:tplc="7C0C4B06" w:tentative="1">
      <w:start w:val="1"/>
      <w:numFmt w:val="bullet"/>
      <w:lvlText w:val=""/>
      <w:lvlJc w:val="left"/>
      <w:pPr>
        <w:ind w:left="5040" w:hanging="360"/>
      </w:pPr>
      <w:rPr>
        <w:rFonts w:ascii="Symbol" w:hAnsi="Symbol" w:hint="default"/>
      </w:rPr>
    </w:lvl>
    <w:lvl w:ilvl="7" w:tplc="A66883EA" w:tentative="1">
      <w:start w:val="1"/>
      <w:numFmt w:val="bullet"/>
      <w:lvlText w:val="o"/>
      <w:lvlJc w:val="left"/>
      <w:pPr>
        <w:ind w:left="5760" w:hanging="360"/>
      </w:pPr>
      <w:rPr>
        <w:rFonts w:ascii="Courier New" w:hAnsi="Courier New" w:cs="Courier New" w:hint="default"/>
      </w:rPr>
    </w:lvl>
    <w:lvl w:ilvl="8" w:tplc="08D0754C" w:tentative="1">
      <w:start w:val="1"/>
      <w:numFmt w:val="bullet"/>
      <w:lvlText w:val=""/>
      <w:lvlJc w:val="left"/>
      <w:pPr>
        <w:ind w:left="6480" w:hanging="360"/>
      </w:pPr>
      <w:rPr>
        <w:rFonts w:ascii="Wingdings" w:hAnsi="Wingdings" w:hint="default"/>
      </w:rPr>
    </w:lvl>
  </w:abstractNum>
  <w:abstractNum w:abstractNumId="1" w15:restartNumberingAfterBreak="0">
    <w:nsid w:val="28805F9A"/>
    <w:multiLevelType w:val="hybridMultilevel"/>
    <w:tmpl w:val="D2966B58"/>
    <w:lvl w:ilvl="0" w:tplc="EC3682F0">
      <w:start w:val="1"/>
      <w:numFmt w:val="bullet"/>
      <w:lvlText w:val=""/>
      <w:lvlJc w:val="left"/>
      <w:pPr>
        <w:tabs>
          <w:tab w:val="num" w:pos="720"/>
        </w:tabs>
        <w:ind w:left="720" w:hanging="360"/>
      </w:pPr>
      <w:rPr>
        <w:rFonts w:ascii="Symbol" w:hAnsi="Symbol" w:hint="default"/>
      </w:rPr>
    </w:lvl>
    <w:lvl w:ilvl="1" w:tplc="C1FA2288" w:tentative="1">
      <w:start w:val="1"/>
      <w:numFmt w:val="bullet"/>
      <w:lvlText w:val="o"/>
      <w:lvlJc w:val="left"/>
      <w:pPr>
        <w:ind w:left="1440" w:hanging="360"/>
      </w:pPr>
      <w:rPr>
        <w:rFonts w:ascii="Courier New" w:hAnsi="Courier New" w:cs="Courier New" w:hint="default"/>
      </w:rPr>
    </w:lvl>
    <w:lvl w:ilvl="2" w:tplc="05E8F4CE" w:tentative="1">
      <w:start w:val="1"/>
      <w:numFmt w:val="bullet"/>
      <w:lvlText w:val=""/>
      <w:lvlJc w:val="left"/>
      <w:pPr>
        <w:ind w:left="2160" w:hanging="360"/>
      </w:pPr>
      <w:rPr>
        <w:rFonts w:ascii="Wingdings" w:hAnsi="Wingdings" w:hint="default"/>
      </w:rPr>
    </w:lvl>
    <w:lvl w:ilvl="3" w:tplc="476A0E3C" w:tentative="1">
      <w:start w:val="1"/>
      <w:numFmt w:val="bullet"/>
      <w:lvlText w:val=""/>
      <w:lvlJc w:val="left"/>
      <w:pPr>
        <w:ind w:left="2880" w:hanging="360"/>
      </w:pPr>
      <w:rPr>
        <w:rFonts w:ascii="Symbol" w:hAnsi="Symbol" w:hint="default"/>
      </w:rPr>
    </w:lvl>
    <w:lvl w:ilvl="4" w:tplc="5E66E7FC" w:tentative="1">
      <w:start w:val="1"/>
      <w:numFmt w:val="bullet"/>
      <w:lvlText w:val="o"/>
      <w:lvlJc w:val="left"/>
      <w:pPr>
        <w:ind w:left="3600" w:hanging="360"/>
      </w:pPr>
      <w:rPr>
        <w:rFonts w:ascii="Courier New" w:hAnsi="Courier New" w:cs="Courier New" w:hint="default"/>
      </w:rPr>
    </w:lvl>
    <w:lvl w:ilvl="5" w:tplc="55A27D32" w:tentative="1">
      <w:start w:val="1"/>
      <w:numFmt w:val="bullet"/>
      <w:lvlText w:val=""/>
      <w:lvlJc w:val="left"/>
      <w:pPr>
        <w:ind w:left="4320" w:hanging="360"/>
      </w:pPr>
      <w:rPr>
        <w:rFonts w:ascii="Wingdings" w:hAnsi="Wingdings" w:hint="default"/>
      </w:rPr>
    </w:lvl>
    <w:lvl w:ilvl="6" w:tplc="524CBD0C" w:tentative="1">
      <w:start w:val="1"/>
      <w:numFmt w:val="bullet"/>
      <w:lvlText w:val=""/>
      <w:lvlJc w:val="left"/>
      <w:pPr>
        <w:ind w:left="5040" w:hanging="360"/>
      </w:pPr>
      <w:rPr>
        <w:rFonts w:ascii="Symbol" w:hAnsi="Symbol" w:hint="default"/>
      </w:rPr>
    </w:lvl>
    <w:lvl w:ilvl="7" w:tplc="055E4A0A" w:tentative="1">
      <w:start w:val="1"/>
      <w:numFmt w:val="bullet"/>
      <w:lvlText w:val="o"/>
      <w:lvlJc w:val="left"/>
      <w:pPr>
        <w:ind w:left="5760" w:hanging="360"/>
      </w:pPr>
      <w:rPr>
        <w:rFonts w:ascii="Courier New" w:hAnsi="Courier New" w:cs="Courier New" w:hint="default"/>
      </w:rPr>
    </w:lvl>
    <w:lvl w:ilvl="8" w:tplc="F5CA0BA0" w:tentative="1">
      <w:start w:val="1"/>
      <w:numFmt w:val="bullet"/>
      <w:lvlText w:val=""/>
      <w:lvlJc w:val="left"/>
      <w:pPr>
        <w:ind w:left="6480" w:hanging="360"/>
      </w:pPr>
      <w:rPr>
        <w:rFonts w:ascii="Wingdings" w:hAnsi="Wingdings" w:hint="default"/>
      </w:rPr>
    </w:lvl>
  </w:abstractNum>
  <w:abstractNum w:abstractNumId="2" w15:restartNumberingAfterBreak="0">
    <w:nsid w:val="4BDF5C67"/>
    <w:multiLevelType w:val="hybridMultilevel"/>
    <w:tmpl w:val="37423162"/>
    <w:lvl w:ilvl="0" w:tplc="DD6C3992">
      <w:start w:val="1"/>
      <w:numFmt w:val="bullet"/>
      <w:lvlText w:val=""/>
      <w:lvlJc w:val="left"/>
      <w:pPr>
        <w:tabs>
          <w:tab w:val="num" w:pos="720"/>
        </w:tabs>
        <w:ind w:left="720" w:hanging="360"/>
      </w:pPr>
      <w:rPr>
        <w:rFonts w:ascii="Symbol" w:hAnsi="Symbol" w:hint="default"/>
      </w:rPr>
    </w:lvl>
    <w:lvl w:ilvl="1" w:tplc="03CACFB4" w:tentative="1">
      <w:start w:val="1"/>
      <w:numFmt w:val="bullet"/>
      <w:lvlText w:val="o"/>
      <w:lvlJc w:val="left"/>
      <w:pPr>
        <w:ind w:left="1440" w:hanging="360"/>
      </w:pPr>
      <w:rPr>
        <w:rFonts w:ascii="Courier New" w:hAnsi="Courier New" w:cs="Courier New" w:hint="default"/>
      </w:rPr>
    </w:lvl>
    <w:lvl w:ilvl="2" w:tplc="ACFAA87E" w:tentative="1">
      <w:start w:val="1"/>
      <w:numFmt w:val="bullet"/>
      <w:lvlText w:val=""/>
      <w:lvlJc w:val="left"/>
      <w:pPr>
        <w:ind w:left="2160" w:hanging="360"/>
      </w:pPr>
      <w:rPr>
        <w:rFonts w:ascii="Wingdings" w:hAnsi="Wingdings" w:hint="default"/>
      </w:rPr>
    </w:lvl>
    <w:lvl w:ilvl="3" w:tplc="68423EAC" w:tentative="1">
      <w:start w:val="1"/>
      <w:numFmt w:val="bullet"/>
      <w:lvlText w:val=""/>
      <w:lvlJc w:val="left"/>
      <w:pPr>
        <w:ind w:left="2880" w:hanging="360"/>
      </w:pPr>
      <w:rPr>
        <w:rFonts w:ascii="Symbol" w:hAnsi="Symbol" w:hint="default"/>
      </w:rPr>
    </w:lvl>
    <w:lvl w:ilvl="4" w:tplc="C096E17C" w:tentative="1">
      <w:start w:val="1"/>
      <w:numFmt w:val="bullet"/>
      <w:lvlText w:val="o"/>
      <w:lvlJc w:val="left"/>
      <w:pPr>
        <w:ind w:left="3600" w:hanging="360"/>
      </w:pPr>
      <w:rPr>
        <w:rFonts w:ascii="Courier New" w:hAnsi="Courier New" w:cs="Courier New" w:hint="default"/>
      </w:rPr>
    </w:lvl>
    <w:lvl w:ilvl="5" w:tplc="D0FCCA3E" w:tentative="1">
      <w:start w:val="1"/>
      <w:numFmt w:val="bullet"/>
      <w:lvlText w:val=""/>
      <w:lvlJc w:val="left"/>
      <w:pPr>
        <w:ind w:left="4320" w:hanging="360"/>
      </w:pPr>
      <w:rPr>
        <w:rFonts w:ascii="Wingdings" w:hAnsi="Wingdings" w:hint="default"/>
      </w:rPr>
    </w:lvl>
    <w:lvl w:ilvl="6" w:tplc="226024CC" w:tentative="1">
      <w:start w:val="1"/>
      <w:numFmt w:val="bullet"/>
      <w:lvlText w:val=""/>
      <w:lvlJc w:val="left"/>
      <w:pPr>
        <w:ind w:left="5040" w:hanging="360"/>
      </w:pPr>
      <w:rPr>
        <w:rFonts w:ascii="Symbol" w:hAnsi="Symbol" w:hint="default"/>
      </w:rPr>
    </w:lvl>
    <w:lvl w:ilvl="7" w:tplc="28909D10" w:tentative="1">
      <w:start w:val="1"/>
      <w:numFmt w:val="bullet"/>
      <w:lvlText w:val="o"/>
      <w:lvlJc w:val="left"/>
      <w:pPr>
        <w:ind w:left="5760" w:hanging="360"/>
      </w:pPr>
      <w:rPr>
        <w:rFonts w:ascii="Courier New" w:hAnsi="Courier New" w:cs="Courier New" w:hint="default"/>
      </w:rPr>
    </w:lvl>
    <w:lvl w:ilvl="8" w:tplc="FD9E2B06" w:tentative="1">
      <w:start w:val="1"/>
      <w:numFmt w:val="bullet"/>
      <w:lvlText w:val=""/>
      <w:lvlJc w:val="left"/>
      <w:pPr>
        <w:ind w:left="6480" w:hanging="360"/>
      </w:pPr>
      <w:rPr>
        <w:rFonts w:ascii="Wingdings" w:hAnsi="Wingdings" w:hint="default"/>
      </w:rPr>
    </w:lvl>
  </w:abstractNum>
  <w:abstractNum w:abstractNumId="3" w15:restartNumberingAfterBreak="0">
    <w:nsid w:val="549E65EB"/>
    <w:multiLevelType w:val="hybridMultilevel"/>
    <w:tmpl w:val="77B61D96"/>
    <w:lvl w:ilvl="0" w:tplc="D0D28F76">
      <w:start w:val="1"/>
      <w:numFmt w:val="bullet"/>
      <w:lvlText w:val=""/>
      <w:lvlJc w:val="left"/>
      <w:pPr>
        <w:tabs>
          <w:tab w:val="num" w:pos="720"/>
        </w:tabs>
        <w:ind w:left="720" w:hanging="360"/>
      </w:pPr>
      <w:rPr>
        <w:rFonts w:ascii="Symbol" w:hAnsi="Symbol" w:hint="default"/>
      </w:rPr>
    </w:lvl>
    <w:lvl w:ilvl="1" w:tplc="27BA7D4A">
      <w:start w:val="1"/>
      <w:numFmt w:val="bullet"/>
      <w:lvlText w:val="o"/>
      <w:lvlJc w:val="left"/>
      <w:pPr>
        <w:ind w:left="1440" w:hanging="360"/>
      </w:pPr>
      <w:rPr>
        <w:rFonts w:ascii="Courier New" w:hAnsi="Courier New" w:cs="Courier New" w:hint="default"/>
      </w:rPr>
    </w:lvl>
    <w:lvl w:ilvl="2" w:tplc="1AB625C8" w:tentative="1">
      <w:start w:val="1"/>
      <w:numFmt w:val="bullet"/>
      <w:lvlText w:val=""/>
      <w:lvlJc w:val="left"/>
      <w:pPr>
        <w:ind w:left="2160" w:hanging="360"/>
      </w:pPr>
      <w:rPr>
        <w:rFonts w:ascii="Wingdings" w:hAnsi="Wingdings" w:hint="default"/>
      </w:rPr>
    </w:lvl>
    <w:lvl w:ilvl="3" w:tplc="CE30AA10" w:tentative="1">
      <w:start w:val="1"/>
      <w:numFmt w:val="bullet"/>
      <w:lvlText w:val=""/>
      <w:lvlJc w:val="left"/>
      <w:pPr>
        <w:ind w:left="2880" w:hanging="360"/>
      </w:pPr>
      <w:rPr>
        <w:rFonts w:ascii="Symbol" w:hAnsi="Symbol" w:hint="default"/>
      </w:rPr>
    </w:lvl>
    <w:lvl w:ilvl="4" w:tplc="9DB0FF1A" w:tentative="1">
      <w:start w:val="1"/>
      <w:numFmt w:val="bullet"/>
      <w:lvlText w:val="o"/>
      <w:lvlJc w:val="left"/>
      <w:pPr>
        <w:ind w:left="3600" w:hanging="360"/>
      </w:pPr>
      <w:rPr>
        <w:rFonts w:ascii="Courier New" w:hAnsi="Courier New" w:cs="Courier New" w:hint="default"/>
      </w:rPr>
    </w:lvl>
    <w:lvl w:ilvl="5" w:tplc="16EEFE1A" w:tentative="1">
      <w:start w:val="1"/>
      <w:numFmt w:val="bullet"/>
      <w:lvlText w:val=""/>
      <w:lvlJc w:val="left"/>
      <w:pPr>
        <w:ind w:left="4320" w:hanging="360"/>
      </w:pPr>
      <w:rPr>
        <w:rFonts w:ascii="Wingdings" w:hAnsi="Wingdings" w:hint="default"/>
      </w:rPr>
    </w:lvl>
    <w:lvl w:ilvl="6" w:tplc="D234BCF2" w:tentative="1">
      <w:start w:val="1"/>
      <w:numFmt w:val="bullet"/>
      <w:lvlText w:val=""/>
      <w:lvlJc w:val="left"/>
      <w:pPr>
        <w:ind w:left="5040" w:hanging="360"/>
      </w:pPr>
      <w:rPr>
        <w:rFonts w:ascii="Symbol" w:hAnsi="Symbol" w:hint="default"/>
      </w:rPr>
    </w:lvl>
    <w:lvl w:ilvl="7" w:tplc="1840A3AC" w:tentative="1">
      <w:start w:val="1"/>
      <w:numFmt w:val="bullet"/>
      <w:lvlText w:val="o"/>
      <w:lvlJc w:val="left"/>
      <w:pPr>
        <w:ind w:left="5760" w:hanging="360"/>
      </w:pPr>
      <w:rPr>
        <w:rFonts w:ascii="Courier New" w:hAnsi="Courier New" w:cs="Courier New" w:hint="default"/>
      </w:rPr>
    </w:lvl>
    <w:lvl w:ilvl="8" w:tplc="6B8404B4" w:tentative="1">
      <w:start w:val="1"/>
      <w:numFmt w:val="bullet"/>
      <w:lvlText w:val=""/>
      <w:lvlJc w:val="left"/>
      <w:pPr>
        <w:ind w:left="6480" w:hanging="360"/>
      </w:pPr>
      <w:rPr>
        <w:rFonts w:ascii="Wingdings" w:hAnsi="Wingdings" w:hint="default"/>
      </w:rPr>
    </w:lvl>
  </w:abstractNum>
  <w:abstractNum w:abstractNumId="4" w15:restartNumberingAfterBreak="0">
    <w:nsid w:val="5AB2339F"/>
    <w:multiLevelType w:val="hybridMultilevel"/>
    <w:tmpl w:val="F4A858A4"/>
    <w:lvl w:ilvl="0" w:tplc="447EFE52">
      <w:start w:val="1"/>
      <w:numFmt w:val="decimal"/>
      <w:lvlText w:val="(%1)"/>
      <w:lvlJc w:val="left"/>
      <w:pPr>
        <w:ind w:left="855" w:hanging="495"/>
      </w:pPr>
      <w:rPr>
        <w:rFonts w:hint="default"/>
      </w:rPr>
    </w:lvl>
    <w:lvl w:ilvl="1" w:tplc="3A206028" w:tentative="1">
      <w:start w:val="1"/>
      <w:numFmt w:val="lowerLetter"/>
      <w:lvlText w:val="%2."/>
      <w:lvlJc w:val="left"/>
      <w:pPr>
        <w:ind w:left="1440" w:hanging="360"/>
      </w:pPr>
    </w:lvl>
    <w:lvl w:ilvl="2" w:tplc="5A74A0EC" w:tentative="1">
      <w:start w:val="1"/>
      <w:numFmt w:val="lowerRoman"/>
      <w:lvlText w:val="%3."/>
      <w:lvlJc w:val="right"/>
      <w:pPr>
        <w:ind w:left="2160" w:hanging="180"/>
      </w:pPr>
    </w:lvl>
    <w:lvl w:ilvl="3" w:tplc="2C1C769E" w:tentative="1">
      <w:start w:val="1"/>
      <w:numFmt w:val="decimal"/>
      <w:lvlText w:val="%4."/>
      <w:lvlJc w:val="left"/>
      <w:pPr>
        <w:ind w:left="2880" w:hanging="360"/>
      </w:pPr>
    </w:lvl>
    <w:lvl w:ilvl="4" w:tplc="2B280196" w:tentative="1">
      <w:start w:val="1"/>
      <w:numFmt w:val="lowerLetter"/>
      <w:lvlText w:val="%5."/>
      <w:lvlJc w:val="left"/>
      <w:pPr>
        <w:ind w:left="3600" w:hanging="360"/>
      </w:pPr>
    </w:lvl>
    <w:lvl w:ilvl="5" w:tplc="4E4C1DF6" w:tentative="1">
      <w:start w:val="1"/>
      <w:numFmt w:val="lowerRoman"/>
      <w:lvlText w:val="%6."/>
      <w:lvlJc w:val="right"/>
      <w:pPr>
        <w:ind w:left="4320" w:hanging="180"/>
      </w:pPr>
    </w:lvl>
    <w:lvl w:ilvl="6" w:tplc="AFF832A0" w:tentative="1">
      <w:start w:val="1"/>
      <w:numFmt w:val="decimal"/>
      <w:lvlText w:val="%7."/>
      <w:lvlJc w:val="left"/>
      <w:pPr>
        <w:ind w:left="5040" w:hanging="360"/>
      </w:pPr>
    </w:lvl>
    <w:lvl w:ilvl="7" w:tplc="8396789E" w:tentative="1">
      <w:start w:val="1"/>
      <w:numFmt w:val="lowerLetter"/>
      <w:lvlText w:val="%8."/>
      <w:lvlJc w:val="left"/>
      <w:pPr>
        <w:ind w:left="5760" w:hanging="360"/>
      </w:pPr>
    </w:lvl>
    <w:lvl w:ilvl="8" w:tplc="D8C46514" w:tentative="1">
      <w:start w:val="1"/>
      <w:numFmt w:val="lowerRoman"/>
      <w:lvlText w:val="%9."/>
      <w:lvlJc w:val="right"/>
      <w:pPr>
        <w:ind w:left="6480" w:hanging="180"/>
      </w:pPr>
    </w:lvl>
  </w:abstractNum>
  <w:abstractNum w:abstractNumId="5" w15:restartNumberingAfterBreak="0">
    <w:nsid w:val="6E213B33"/>
    <w:multiLevelType w:val="hybridMultilevel"/>
    <w:tmpl w:val="C054E2B4"/>
    <w:lvl w:ilvl="0" w:tplc="8A1A9C0C">
      <w:start w:val="1"/>
      <w:numFmt w:val="bullet"/>
      <w:lvlText w:val=""/>
      <w:lvlJc w:val="left"/>
      <w:pPr>
        <w:tabs>
          <w:tab w:val="num" w:pos="720"/>
        </w:tabs>
        <w:ind w:left="720" w:hanging="360"/>
      </w:pPr>
      <w:rPr>
        <w:rFonts w:ascii="Symbol" w:hAnsi="Symbol" w:hint="default"/>
      </w:rPr>
    </w:lvl>
    <w:lvl w:ilvl="1" w:tplc="278A5258" w:tentative="1">
      <w:start w:val="1"/>
      <w:numFmt w:val="bullet"/>
      <w:lvlText w:val="o"/>
      <w:lvlJc w:val="left"/>
      <w:pPr>
        <w:ind w:left="1440" w:hanging="360"/>
      </w:pPr>
      <w:rPr>
        <w:rFonts w:ascii="Courier New" w:hAnsi="Courier New" w:cs="Courier New" w:hint="default"/>
      </w:rPr>
    </w:lvl>
    <w:lvl w:ilvl="2" w:tplc="4D0C4AF4" w:tentative="1">
      <w:start w:val="1"/>
      <w:numFmt w:val="bullet"/>
      <w:lvlText w:val=""/>
      <w:lvlJc w:val="left"/>
      <w:pPr>
        <w:ind w:left="2160" w:hanging="360"/>
      </w:pPr>
      <w:rPr>
        <w:rFonts w:ascii="Wingdings" w:hAnsi="Wingdings" w:hint="default"/>
      </w:rPr>
    </w:lvl>
    <w:lvl w:ilvl="3" w:tplc="D760355A" w:tentative="1">
      <w:start w:val="1"/>
      <w:numFmt w:val="bullet"/>
      <w:lvlText w:val=""/>
      <w:lvlJc w:val="left"/>
      <w:pPr>
        <w:ind w:left="2880" w:hanging="360"/>
      </w:pPr>
      <w:rPr>
        <w:rFonts w:ascii="Symbol" w:hAnsi="Symbol" w:hint="default"/>
      </w:rPr>
    </w:lvl>
    <w:lvl w:ilvl="4" w:tplc="191ED6B8" w:tentative="1">
      <w:start w:val="1"/>
      <w:numFmt w:val="bullet"/>
      <w:lvlText w:val="o"/>
      <w:lvlJc w:val="left"/>
      <w:pPr>
        <w:ind w:left="3600" w:hanging="360"/>
      </w:pPr>
      <w:rPr>
        <w:rFonts w:ascii="Courier New" w:hAnsi="Courier New" w:cs="Courier New" w:hint="default"/>
      </w:rPr>
    </w:lvl>
    <w:lvl w:ilvl="5" w:tplc="E69C7E2E" w:tentative="1">
      <w:start w:val="1"/>
      <w:numFmt w:val="bullet"/>
      <w:lvlText w:val=""/>
      <w:lvlJc w:val="left"/>
      <w:pPr>
        <w:ind w:left="4320" w:hanging="360"/>
      </w:pPr>
      <w:rPr>
        <w:rFonts w:ascii="Wingdings" w:hAnsi="Wingdings" w:hint="default"/>
      </w:rPr>
    </w:lvl>
    <w:lvl w:ilvl="6" w:tplc="0A2EEE12" w:tentative="1">
      <w:start w:val="1"/>
      <w:numFmt w:val="bullet"/>
      <w:lvlText w:val=""/>
      <w:lvlJc w:val="left"/>
      <w:pPr>
        <w:ind w:left="5040" w:hanging="360"/>
      </w:pPr>
      <w:rPr>
        <w:rFonts w:ascii="Symbol" w:hAnsi="Symbol" w:hint="default"/>
      </w:rPr>
    </w:lvl>
    <w:lvl w:ilvl="7" w:tplc="B3C0832C" w:tentative="1">
      <w:start w:val="1"/>
      <w:numFmt w:val="bullet"/>
      <w:lvlText w:val="o"/>
      <w:lvlJc w:val="left"/>
      <w:pPr>
        <w:ind w:left="5760" w:hanging="360"/>
      </w:pPr>
      <w:rPr>
        <w:rFonts w:ascii="Courier New" w:hAnsi="Courier New" w:cs="Courier New" w:hint="default"/>
      </w:rPr>
    </w:lvl>
    <w:lvl w:ilvl="8" w:tplc="C3B6A0C8" w:tentative="1">
      <w:start w:val="1"/>
      <w:numFmt w:val="bullet"/>
      <w:lvlText w:val=""/>
      <w:lvlJc w:val="left"/>
      <w:pPr>
        <w:ind w:left="6480" w:hanging="360"/>
      </w:pPr>
      <w:rPr>
        <w:rFonts w:ascii="Wingdings" w:hAnsi="Wingdings" w:hint="default"/>
      </w:rPr>
    </w:lvl>
  </w:abstractNum>
  <w:num w:numId="1" w16cid:durableId="1150708662">
    <w:abstractNumId w:val="2"/>
  </w:num>
  <w:num w:numId="2" w16cid:durableId="272978477">
    <w:abstractNumId w:val="1"/>
  </w:num>
  <w:num w:numId="3" w16cid:durableId="861895766">
    <w:abstractNumId w:val="4"/>
  </w:num>
  <w:num w:numId="4" w16cid:durableId="1452046964">
    <w:abstractNumId w:val="3"/>
  </w:num>
  <w:num w:numId="5" w16cid:durableId="17513010">
    <w:abstractNumId w:val="5"/>
  </w:num>
  <w:num w:numId="6" w16cid:durableId="110260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AC"/>
    <w:rsid w:val="00000A70"/>
    <w:rsid w:val="000032B8"/>
    <w:rsid w:val="00003B06"/>
    <w:rsid w:val="000054B9"/>
    <w:rsid w:val="00007461"/>
    <w:rsid w:val="0001117E"/>
    <w:rsid w:val="0001125F"/>
    <w:rsid w:val="0001338E"/>
    <w:rsid w:val="00013A4A"/>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754"/>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1DB2"/>
    <w:rsid w:val="00064BF2"/>
    <w:rsid w:val="000667BA"/>
    <w:rsid w:val="0006687B"/>
    <w:rsid w:val="000676A7"/>
    <w:rsid w:val="00073914"/>
    <w:rsid w:val="00074236"/>
    <w:rsid w:val="000746BD"/>
    <w:rsid w:val="00076D7D"/>
    <w:rsid w:val="00080D95"/>
    <w:rsid w:val="0008264F"/>
    <w:rsid w:val="000867FD"/>
    <w:rsid w:val="00090E6B"/>
    <w:rsid w:val="00091B2C"/>
    <w:rsid w:val="00092ABC"/>
    <w:rsid w:val="00097AAF"/>
    <w:rsid w:val="00097D13"/>
    <w:rsid w:val="000A400E"/>
    <w:rsid w:val="000A4893"/>
    <w:rsid w:val="000A54E0"/>
    <w:rsid w:val="000A72C4"/>
    <w:rsid w:val="000B0F30"/>
    <w:rsid w:val="000B1486"/>
    <w:rsid w:val="000B3E61"/>
    <w:rsid w:val="000B54AF"/>
    <w:rsid w:val="000B6090"/>
    <w:rsid w:val="000B6FEE"/>
    <w:rsid w:val="000C12C4"/>
    <w:rsid w:val="000C44B3"/>
    <w:rsid w:val="000C49DA"/>
    <w:rsid w:val="000C4B3D"/>
    <w:rsid w:val="000C6DC1"/>
    <w:rsid w:val="000C6E20"/>
    <w:rsid w:val="000C76D7"/>
    <w:rsid w:val="000C7F1D"/>
    <w:rsid w:val="000D17EC"/>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0F7E26"/>
    <w:rsid w:val="0010154D"/>
    <w:rsid w:val="00102D3F"/>
    <w:rsid w:val="00102EC7"/>
    <w:rsid w:val="0010347D"/>
    <w:rsid w:val="00105C77"/>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3D87"/>
    <w:rsid w:val="00154410"/>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B9F"/>
    <w:rsid w:val="00185C59"/>
    <w:rsid w:val="001874BA"/>
    <w:rsid w:val="00187C1B"/>
    <w:rsid w:val="001908AC"/>
    <w:rsid w:val="00190CFB"/>
    <w:rsid w:val="0019457A"/>
    <w:rsid w:val="00195257"/>
    <w:rsid w:val="00195388"/>
    <w:rsid w:val="0019539E"/>
    <w:rsid w:val="001968BC"/>
    <w:rsid w:val="00197CE1"/>
    <w:rsid w:val="001A0739"/>
    <w:rsid w:val="001A089C"/>
    <w:rsid w:val="001A0F00"/>
    <w:rsid w:val="001A2BDD"/>
    <w:rsid w:val="001A3DDF"/>
    <w:rsid w:val="001A4310"/>
    <w:rsid w:val="001A4D05"/>
    <w:rsid w:val="001A7591"/>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C0E"/>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2BE4"/>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681"/>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2273"/>
    <w:rsid w:val="002F3111"/>
    <w:rsid w:val="002F4AEC"/>
    <w:rsid w:val="002F795D"/>
    <w:rsid w:val="00300823"/>
    <w:rsid w:val="00300D7F"/>
    <w:rsid w:val="0030106C"/>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169"/>
    <w:rsid w:val="003305F5"/>
    <w:rsid w:val="003328B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09E2"/>
    <w:rsid w:val="00361FE9"/>
    <w:rsid w:val="003624F2"/>
    <w:rsid w:val="00363854"/>
    <w:rsid w:val="00364315"/>
    <w:rsid w:val="003643E2"/>
    <w:rsid w:val="00370155"/>
    <w:rsid w:val="003712D5"/>
    <w:rsid w:val="003747DF"/>
    <w:rsid w:val="00377E3D"/>
    <w:rsid w:val="003816B7"/>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D7697"/>
    <w:rsid w:val="003E0875"/>
    <w:rsid w:val="003E0BB8"/>
    <w:rsid w:val="003E169A"/>
    <w:rsid w:val="003E6CB0"/>
    <w:rsid w:val="003F1F5E"/>
    <w:rsid w:val="003F286A"/>
    <w:rsid w:val="003F5226"/>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4C12"/>
    <w:rsid w:val="00447018"/>
    <w:rsid w:val="00450561"/>
    <w:rsid w:val="00450A40"/>
    <w:rsid w:val="00451D7C"/>
    <w:rsid w:val="00452FC3"/>
    <w:rsid w:val="00454715"/>
    <w:rsid w:val="00455936"/>
    <w:rsid w:val="00455ACE"/>
    <w:rsid w:val="004573DF"/>
    <w:rsid w:val="00461735"/>
    <w:rsid w:val="00461B69"/>
    <w:rsid w:val="00462B3D"/>
    <w:rsid w:val="00474927"/>
    <w:rsid w:val="00475913"/>
    <w:rsid w:val="00480080"/>
    <w:rsid w:val="004824A7"/>
    <w:rsid w:val="00483AF0"/>
    <w:rsid w:val="00484167"/>
    <w:rsid w:val="00484789"/>
    <w:rsid w:val="00492211"/>
    <w:rsid w:val="00492325"/>
    <w:rsid w:val="00492A6D"/>
    <w:rsid w:val="00494303"/>
    <w:rsid w:val="0049682B"/>
    <w:rsid w:val="004977A3"/>
    <w:rsid w:val="004A03F7"/>
    <w:rsid w:val="004A081C"/>
    <w:rsid w:val="004A123F"/>
    <w:rsid w:val="004A161F"/>
    <w:rsid w:val="004A2172"/>
    <w:rsid w:val="004A239F"/>
    <w:rsid w:val="004B138F"/>
    <w:rsid w:val="004B412A"/>
    <w:rsid w:val="004B576C"/>
    <w:rsid w:val="004B772A"/>
    <w:rsid w:val="004C0F6B"/>
    <w:rsid w:val="004C302F"/>
    <w:rsid w:val="004C4609"/>
    <w:rsid w:val="004C4B8A"/>
    <w:rsid w:val="004C52EF"/>
    <w:rsid w:val="004C5F34"/>
    <w:rsid w:val="004C600C"/>
    <w:rsid w:val="004C6187"/>
    <w:rsid w:val="004C7888"/>
    <w:rsid w:val="004C7FC7"/>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31D"/>
    <w:rsid w:val="00500121"/>
    <w:rsid w:val="005017AC"/>
    <w:rsid w:val="00501E8A"/>
    <w:rsid w:val="00505121"/>
    <w:rsid w:val="0050556B"/>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0103"/>
    <w:rsid w:val="00541B98"/>
    <w:rsid w:val="00543374"/>
    <w:rsid w:val="00545548"/>
    <w:rsid w:val="00546923"/>
    <w:rsid w:val="0055103E"/>
    <w:rsid w:val="00551CA6"/>
    <w:rsid w:val="00555034"/>
    <w:rsid w:val="005570D2"/>
    <w:rsid w:val="00561528"/>
    <w:rsid w:val="0056153F"/>
    <w:rsid w:val="00561B14"/>
    <w:rsid w:val="00562C87"/>
    <w:rsid w:val="005636BD"/>
    <w:rsid w:val="00564B9F"/>
    <w:rsid w:val="005666D5"/>
    <w:rsid w:val="005669A7"/>
    <w:rsid w:val="00573401"/>
    <w:rsid w:val="00573AA4"/>
    <w:rsid w:val="00576714"/>
    <w:rsid w:val="0057685A"/>
    <w:rsid w:val="005832EE"/>
    <w:rsid w:val="005847EF"/>
    <w:rsid w:val="005851E6"/>
    <w:rsid w:val="005878B7"/>
    <w:rsid w:val="005911C1"/>
    <w:rsid w:val="00592C9A"/>
    <w:rsid w:val="00593DF8"/>
    <w:rsid w:val="00595745"/>
    <w:rsid w:val="0059655B"/>
    <w:rsid w:val="005A0E18"/>
    <w:rsid w:val="005A12A5"/>
    <w:rsid w:val="005A3790"/>
    <w:rsid w:val="005A3CCB"/>
    <w:rsid w:val="005A5C42"/>
    <w:rsid w:val="005A6D13"/>
    <w:rsid w:val="005B031F"/>
    <w:rsid w:val="005B3298"/>
    <w:rsid w:val="005B3C13"/>
    <w:rsid w:val="005B5516"/>
    <w:rsid w:val="005B5D2B"/>
    <w:rsid w:val="005C1496"/>
    <w:rsid w:val="005C17C5"/>
    <w:rsid w:val="005C2B21"/>
    <w:rsid w:val="005C2C00"/>
    <w:rsid w:val="005C4C6F"/>
    <w:rsid w:val="005C5127"/>
    <w:rsid w:val="005C77D5"/>
    <w:rsid w:val="005C7CCB"/>
    <w:rsid w:val="005D1444"/>
    <w:rsid w:val="005D1E66"/>
    <w:rsid w:val="005D4DAE"/>
    <w:rsid w:val="005D767D"/>
    <w:rsid w:val="005D7A30"/>
    <w:rsid w:val="005D7D3B"/>
    <w:rsid w:val="005E1999"/>
    <w:rsid w:val="005E232C"/>
    <w:rsid w:val="005E2B83"/>
    <w:rsid w:val="005E4AEB"/>
    <w:rsid w:val="005E619A"/>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CA9"/>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7A"/>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1039"/>
    <w:rsid w:val="006F365D"/>
    <w:rsid w:val="006F4BB0"/>
    <w:rsid w:val="006F66D6"/>
    <w:rsid w:val="007031BD"/>
    <w:rsid w:val="00703E80"/>
    <w:rsid w:val="00705276"/>
    <w:rsid w:val="007066A0"/>
    <w:rsid w:val="00706F1E"/>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FDB"/>
    <w:rsid w:val="00742794"/>
    <w:rsid w:val="00743C4C"/>
    <w:rsid w:val="007445B7"/>
    <w:rsid w:val="00744920"/>
    <w:rsid w:val="007509BE"/>
    <w:rsid w:val="0075287B"/>
    <w:rsid w:val="00754D0A"/>
    <w:rsid w:val="00755C7B"/>
    <w:rsid w:val="00761C4E"/>
    <w:rsid w:val="007634D6"/>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41D"/>
    <w:rsid w:val="0079792C"/>
    <w:rsid w:val="007A0989"/>
    <w:rsid w:val="007A2147"/>
    <w:rsid w:val="007A331F"/>
    <w:rsid w:val="007A3844"/>
    <w:rsid w:val="007A4381"/>
    <w:rsid w:val="007A5466"/>
    <w:rsid w:val="007A7EC1"/>
    <w:rsid w:val="007B4FCA"/>
    <w:rsid w:val="007B7B85"/>
    <w:rsid w:val="007C442E"/>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2771"/>
    <w:rsid w:val="008030FC"/>
    <w:rsid w:val="00804124"/>
    <w:rsid w:val="00805402"/>
    <w:rsid w:val="0080765F"/>
    <w:rsid w:val="00812BE3"/>
    <w:rsid w:val="00814516"/>
    <w:rsid w:val="00815C9D"/>
    <w:rsid w:val="008170E2"/>
    <w:rsid w:val="00823E4C"/>
    <w:rsid w:val="00824DBF"/>
    <w:rsid w:val="0082562F"/>
    <w:rsid w:val="00827749"/>
    <w:rsid w:val="00827B7E"/>
    <w:rsid w:val="00830EEB"/>
    <w:rsid w:val="008347A9"/>
    <w:rsid w:val="00835628"/>
    <w:rsid w:val="00835E90"/>
    <w:rsid w:val="00836C65"/>
    <w:rsid w:val="0084176D"/>
    <w:rsid w:val="008423E4"/>
    <w:rsid w:val="00842900"/>
    <w:rsid w:val="00842D98"/>
    <w:rsid w:val="0084397E"/>
    <w:rsid w:val="00850CF0"/>
    <w:rsid w:val="00851869"/>
    <w:rsid w:val="00851A46"/>
    <w:rsid w:val="00851C04"/>
    <w:rsid w:val="008531A1"/>
    <w:rsid w:val="00853A94"/>
    <w:rsid w:val="008547A3"/>
    <w:rsid w:val="00855249"/>
    <w:rsid w:val="0085797D"/>
    <w:rsid w:val="00860020"/>
    <w:rsid w:val="008618E7"/>
    <w:rsid w:val="00861995"/>
    <w:rsid w:val="0086231A"/>
    <w:rsid w:val="0086461B"/>
    <w:rsid w:val="0086477C"/>
    <w:rsid w:val="00864BAD"/>
    <w:rsid w:val="008651CD"/>
    <w:rsid w:val="00866F9D"/>
    <w:rsid w:val="008673D9"/>
    <w:rsid w:val="00871775"/>
    <w:rsid w:val="00871AEF"/>
    <w:rsid w:val="008726E5"/>
    <w:rsid w:val="0087289E"/>
    <w:rsid w:val="00874C05"/>
    <w:rsid w:val="0087588B"/>
    <w:rsid w:val="0087680A"/>
    <w:rsid w:val="0087727F"/>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54FC"/>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128"/>
    <w:rsid w:val="008D7427"/>
    <w:rsid w:val="008D7C43"/>
    <w:rsid w:val="008E22F0"/>
    <w:rsid w:val="008E3338"/>
    <w:rsid w:val="008E432B"/>
    <w:rsid w:val="008E47BE"/>
    <w:rsid w:val="008F09DF"/>
    <w:rsid w:val="008F3053"/>
    <w:rsid w:val="008F3136"/>
    <w:rsid w:val="008F40DF"/>
    <w:rsid w:val="008F5C1D"/>
    <w:rsid w:val="008F5E16"/>
    <w:rsid w:val="008F5EFC"/>
    <w:rsid w:val="00901670"/>
    <w:rsid w:val="00902212"/>
    <w:rsid w:val="00903E0A"/>
    <w:rsid w:val="0090421F"/>
    <w:rsid w:val="00904721"/>
    <w:rsid w:val="00907780"/>
    <w:rsid w:val="00907EDD"/>
    <w:rsid w:val="00910093"/>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76A08"/>
    <w:rsid w:val="00980311"/>
    <w:rsid w:val="0098170E"/>
    <w:rsid w:val="0098285C"/>
    <w:rsid w:val="00983B56"/>
    <w:rsid w:val="009847FD"/>
    <w:rsid w:val="009851B3"/>
    <w:rsid w:val="00985300"/>
    <w:rsid w:val="00986720"/>
    <w:rsid w:val="00987F00"/>
    <w:rsid w:val="0099403D"/>
    <w:rsid w:val="00995B0B"/>
    <w:rsid w:val="009A001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986"/>
    <w:rsid w:val="009C5A1D"/>
    <w:rsid w:val="009C6B08"/>
    <w:rsid w:val="009C70FC"/>
    <w:rsid w:val="009D002B"/>
    <w:rsid w:val="009D37C7"/>
    <w:rsid w:val="009D4BBD"/>
    <w:rsid w:val="009D54D7"/>
    <w:rsid w:val="009D5A41"/>
    <w:rsid w:val="009E13BF"/>
    <w:rsid w:val="009E3631"/>
    <w:rsid w:val="009E3EB9"/>
    <w:rsid w:val="009E6363"/>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5BDF"/>
    <w:rsid w:val="00B07488"/>
    <w:rsid w:val="00B075A2"/>
    <w:rsid w:val="00B10DD2"/>
    <w:rsid w:val="00B115DC"/>
    <w:rsid w:val="00B11952"/>
    <w:rsid w:val="00B1326E"/>
    <w:rsid w:val="00B149AC"/>
    <w:rsid w:val="00B14BD2"/>
    <w:rsid w:val="00B1557F"/>
    <w:rsid w:val="00B1668D"/>
    <w:rsid w:val="00B17981"/>
    <w:rsid w:val="00B20716"/>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5D06"/>
    <w:rsid w:val="00B564BF"/>
    <w:rsid w:val="00B57D1F"/>
    <w:rsid w:val="00B6104E"/>
    <w:rsid w:val="00B610C7"/>
    <w:rsid w:val="00B62106"/>
    <w:rsid w:val="00B626A8"/>
    <w:rsid w:val="00B65695"/>
    <w:rsid w:val="00B66526"/>
    <w:rsid w:val="00B665A3"/>
    <w:rsid w:val="00B73BB4"/>
    <w:rsid w:val="00B80532"/>
    <w:rsid w:val="00B82039"/>
    <w:rsid w:val="00B820B9"/>
    <w:rsid w:val="00B82454"/>
    <w:rsid w:val="00B90097"/>
    <w:rsid w:val="00B90999"/>
    <w:rsid w:val="00B91AD7"/>
    <w:rsid w:val="00B92D23"/>
    <w:rsid w:val="00B95A97"/>
    <w:rsid w:val="00B95BC8"/>
    <w:rsid w:val="00B96E87"/>
    <w:rsid w:val="00BA146A"/>
    <w:rsid w:val="00BA1BC2"/>
    <w:rsid w:val="00BA24B6"/>
    <w:rsid w:val="00BA2FE9"/>
    <w:rsid w:val="00BA32EE"/>
    <w:rsid w:val="00BB5B36"/>
    <w:rsid w:val="00BC027B"/>
    <w:rsid w:val="00BC30A6"/>
    <w:rsid w:val="00BC3ED3"/>
    <w:rsid w:val="00BC3EF6"/>
    <w:rsid w:val="00BC4E34"/>
    <w:rsid w:val="00BC51D0"/>
    <w:rsid w:val="00BC5633"/>
    <w:rsid w:val="00BC58E1"/>
    <w:rsid w:val="00BC59CA"/>
    <w:rsid w:val="00BC6462"/>
    <w:rsid w:val="00BD0A32"/>
    <w:rsid w:val="00BD44CF"/>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2E8E"/>
    <w:rsid w:val="00C46166"/>
    <w:rsid w:val="00C4710D"/>
    <w:rsid w:val="00C50CAD"/>
    <w:rsid w:val="00C56429"/>
    <w:rsid w:val="00C57933"/>
    <w:rsid w:val="00C60206"/>
    <w:rsid w:val="00C615D4"/>
    <w:rsid w:val="00C61A70"/>
    <w:rsid w:val="00C61B5D"/>
    <w:rsid w:val="00C61C0E"/>
    <w:rsid w:val="00C61C64"/>
    <w:rsid w:val="00C61CDA"/>
    <w:rsid w:val="00C6524C"/>
    <w:rsid w:val="00C67EF8"/>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653"/>
    <w:rsid w:val="00CA7D7B"/>
    <w:rsid w:val="00CB0131"/>
    <w:rsid w:val="00CB0AE4"/>
    <w:rsid w:val="00CB0C21"/>
    <w:rsid w:val="00CB0D1A"/>
    <w:rsid w:val="00CB3627"/>
    <w:rsid w:val="00CB3804"/>
    <w:rsid w:val="00CB4B4B"/>
    <w:rsid w:val="00CB4B73"/>
    <w:rsid w:val="00CB74CB"/>
    <w:rsid w:val="00CB7E04"/>
    <w:rsid w:val="00CC24B7"/>
    <w:rsid w:val="00CC7131"/>
    <w:rsid w:val="00CC7B9E"/>
    <w:rsid w:val="00CD06CA"/>
    <w:rsid w:val="00CD076A"/>
    <w:rsid w:val="00CD180C"/>
    <w:rsid w:val="00CD37DA"/>
    <w:rsid w:val="00CD4F2C"/>
    <w:rsid w:val="00CD6F61"/>
    <w:rsid w:val="00CD731C"/>
    <w:rsid w:val="00CE08E8"/>
    <w:rsid w:val="00CE2133"/>
    <w:rsid w:val="00CE245D"/>
    <w:rsid w:val="00CE300F"/>
    <w:rsid w:val="00CE3582"/>
    <w:rsid w:val="00CE3795"/>
    <w:rsid w:val="00CE3E20"/>
    <w:rsid w:val="00CF1D13"/>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67BE"/>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0E5C"/>
    <w:rsid w:val="00D91B92"/>
    <w:rsid w:val="00D92219"/>
    <w:rsid w:val="00D926B3"/>
    <w:rsid w:val="00D926C4"/>
    <w:rsid w:val="00D92F63"/>
    <w:rsid w:val="00D947B6"/>
    <w:rsid w:val="00D94A53"/>
    <w:rsid w:val="00D97E00"/>
    <w:rsid w:val="00DA00BC"/>
    <w:rsid w:val="00DA0E22"/>
    <w:rsid w:val="00DA1EFA"/>
    <w:rsid w:val="00DA25E7"/>
    <w:rsid w:val="00DA3687"/>
    <w:rsid w:val="00DA39F2"/>
    <w:rsid w:val="00DA564B"/>
    <w:rsid w:val="00DA6A5C"/>
    <w:rsid w:val="00DB311F"/>
    <w:rsid w:val="00DB45B3"/>
    <w:rsid w:val="00DB53C6"/>
    <w:rsid w:val="00DB59E3"/>
    <w:rsid w:val="00DB6CB6"/>
    <w:rsid w:val="00DB758F"/>
    <w:rsid w:val="00DC14F4"/>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0AA"/>
    <w:rsid w:val="00E15F90"/>
    <w:rsid w:val="00E16D3E"/>
    <w:rsid w:val="00E17167"/>
    <w:rsid w:val="00E20520"/>
    <w:rsid w:val="00E21D55"/>
    <w:rsid w:val="00E21FDC"/>
    <w:rsid w:val="00E230CF"/>
    <w:rsid w:val="00E2551E"/>
    <w:rsid w:val="00E26B13"/>
    <w:rsid w:val="00E27E5A"/>
    <w:rsid w:val="00E31135"/>
    <w:rsid w:val="00E317BA"/>
    <w:rsid w:val="00E3469B"/>
    <w:rsid w:val="00E3679D"/>
    <w:rsid w:val="00E3795D"/>
    <w:rsid w:val="00E4098A"/>
    <w:rsid w:val="00E40C3B"/>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3C1"/>
    <w:rsid w:val="00E667F3"/>
    <w:rsid w:val="00E67794"/>
    <w:rsid w:val="00E70CC6"/>
    <w:rsid w:val="00E71254"/>
    <w:rsid w:val="00E73CCD"/>
    <w:rsid w:val="00E76453"/>
    <w:rsid w:val="00E77353"/>
    <w:rsid w:val="00E775AE"/>
    <w:rsid w:val="00E810E5"/>
    <w:rsid w:val="00E8272C"/>
    <w:rsid w:val="00E827C7"/>
    <w:rsid w:val="00E82A23"/>
    <w:rsid w:val="00E85DBD"/>
    <w:rsid w:val="00E87A99"/>
    <w:rsid w:val="00E90702"/>
    <w:rsid w:val="00E9241E"/>
    <w:rsid w:val="00E92F59"/>
    <w:rsid w:val="00E93DEF"/>
    <w:rsid w:val="00E947B1"/>
    <w:rsid w:val="00E96852"/>
    <w:rsid w:val="00EA16AC"/>
    <w:rsid w:val="00EA385A"/>
    <w:rsid w:val="00EA3931"/>
    <w:rsid w:val="00EA658E"/>
    <w:rsid w:val="00EA7A88"/>
    <w:rsid w:val="00EB27F2"/>
    <w:rsid w:val="00EB3928"/>
    <w:rsid w:val="00EB5083"/>
    <w:rsid w:val="00EB5373"/>
    <w:rsid w:val="00EB5461"/>
    <w:rsid w:val="00EC02A2"/>
    <w:rsid w:val="00EC19AC"/>
    <w:rsid w:val="00EC379B"/>
    <w:rsid w:val="00EC37DF"/>
    <w:rsid w:val="00EC3A99"/>
    <w:rsid w:val="00EC41B1"/>
    <w:rsid w:val="00ED0665"/>
    <w:rsid w:val="00ED12C0"/>
    <w:rsid w:val="00ED1533"/>
    <w:rsid w:val="00ED19F0"/>
    <w:rsid w:val="00ED2B50"/>
    <w:rsid w:val="00ED3A32"/>
    <w:rsid w:val="00ED3BDE"/>
    <w:rsid w:val="00ED68FB"/>
    <w:rsid w:val="00ED783A"/>
    <w:rsid w:val="00EE2E34"/>
    <w:rsid w:val="00EE2E91"/>
    <w:rsid w:val="00EE3370"/>
    <w:rsid w:val="00EE43A2"/>
    <w:rsid w:val="00EE46B7"/>
    <w:rsid w:val="00EE5A49"/>
    <w:rsid w:val="00EE664B"/>
    <w:rsid w:val="00EE7F87"/>
    <w:rsid w:val="00EF10BA"/>
    <w:rsid w:val="00EF1738"/>
    <w:rsid w:val="00EF2BAF"/>
    <w:rsid w:val="00EF3B8F"/>
    <w:rsid w:val="00EF45C4"/>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7C6"/>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1B1C"/>
    <w:rsid w:val="00F96602"/>
    <w:rsid w:val="00F9735A"/>
    <w:rsid w:val="00FA32FC"/>
    <w:rsid w:val="00FA59FD"/>
    <w:rsid w:val="00FA5D8C"/>
    <w:rsid w:val="00FA6403"/>
    <w:rsid w:val="00FB16CD"/>
    <w:rsid w:val="00FB73AE"/>
    <w:rsid w:val="00FC5388"/>
    <w:rsid w:val="00FC726C"/>
    <w:rsid w:val="00FD1B4B"/>
    <w:rsid w:val="00FD1B94"/>
    <w:rsid w:val="00FE19C5"/>
    <w:rsid w:val="00FE2966"/>
    <w:rsid w:val="00FE4286"/>
    <w:rsid w:val="00FE48C3"/>
    <w:rsid w:val="00FE565B"/>
    <w:rsid w:val="00FE5909"/>
    <w:rsid w:val="00FE652E"/>
    <w:rsid w:val="00FE71FE"/>
    <w:rsid w:val="00FF0A28"/>
    <w:rsid w:val="00FF0B8B"/>
    <w:rsid w:val="00FF0E93"/>
    <w:rsid w:val="00FF13C3"/>
    <w:rsid w:val="00FF34C8"/>
    <w:rsid w:val="00FF4341"/>
    <w:rsid w:val="00FF4B75"/>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11C708-A3A8-4CC0-866B-27231A48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E7F87"/>
    <w:rPr>
      <w:sz w:val="16"/>
      <w:szCs w:val="16"/>
    </w:rPr>
  </w:style>
  <w:style w:type="paragraph" w:styleId="CommentText">
    <w:name w:val="annotation text"/>
    <w:basedOn w:val="Normal"/>
    <w:link w:val="CommentTextChar"/>
    <w:unhideWhenUsed/>
    <w:rsid w:val="00EE7F87"/>
    <w:rPr>
      <w:sz w:val="20"/>
      <w:szCs w:val="20"/>
    </w:rPr>
  </w:style>
  <w:style w:type="character" w:customStyle="1" w:styleId="CommentTextChar">
    <w:name w:val="Comment Text Char"/>
    <w:basedOn w:val="DefaultParagraphFont"/>
    <w:link w:val="CommentText"/>
    <w:rsid w:val="00EE7F87"/>
  </w:style>
  <w:style w:type="paragraph" w:styleId="CommentSubject">
    <w:name w:val="annotation subject"/>
    <w:basedOn w:val="CommentText"/>
    <w:next w:val="CommentText"/>
    <w:link w:val="CommentSubjectChar"/>
    <w:semiHidden/>
    <w:unhideWhenUsed/>
    <w:rsid w:val="00EE7F87"/>
    <w:rPr>
      <w:b/>
      <w:bCs/>
    </w:rPr>
  </w:style>
  <w:style w:type="character" w:customStyle="1" w:styleId="CommentSubjectChar">
    <w:name w:val="Comment Subject Char"/>
    <w:basedOn w:val="CommentTextChar"/>
    <w:link w:val="CommentSubject"/>
    <w:semiHidden/>
    <w:rsid w:val="00EE7F87"/>
    <w:rPr>
      <w:b/>
      <w:bCs/>
    </w:rPr>
  </w:style>
  <w:style w:type="paragraph" w:styleId="Revision">
    <w:name w:val="Revision"/>
    <w:hidden/>
    <w:uiPriority w:val="99"/>
    <w:semiHidden/>
    <w:rsid w:val="00154410"/>
    <w:rPr>
      <w:sz w:val="24"/>
      <w:szCs w:val="24"/>
    </w:rPr>
  </w:style>
  <w:style w:type="paragraph" w:styleId="ListParagraph">
    <w:name w:val="List Paragraph"/>
    <w:basedOn w:val="Normal"/>
    <w:uiPriority w:val="34"/>
    <w:qFormat/>
    <w:rsid w:val="00032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6886</Characters>
  <Application>Microsoft Office Word</Application>
  <DocSecurity>0</DocSecurity>
  <Lines>147</Lines>
  <Paragraphs>44</Paragraphs>
  <ScaleCrop>false</ScaleCrop>
  <HeadingPairs>
    <vt:vector size="2" baseType="variant">
      <vt:variant>
        <vt:lpstr>Title</vt:lpstr>
      </vt:variant>
      <vt:variant>
        <vt:i4>1</vt:i4>
      </vt:variant>
    </vt:vector>
  </HeadingPairs>
  <TitlesOfParts>
    <vt:vector size="1" baseType="lpstr">
      <vt:lpstr>BA - HB00049 (Committee Report (Substituted))</vt:lpstr>
    </vt:vector>
  </TitlesOfParts>
  <Company>State of Texas</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25344</dc:subject>
  <dc:creator>State of Texas</dc:creator>
  <dc:description>HB 49 by Darby-(H)Energy Resources (Substitute Document Number: 89R 25172)</dc:description>
  <cp:lastModifiedBy>Damian Duarte</cp:lastModifiedBy>
  <cp:revision>2</cp:revision>
  <cp:lastPrinted>2003-11-26T17:21:00Z</cp:lastPrinted>
  <dcterms:created xsi:type="dcterms:W3CDTF">2025-04-22T15:07:00Z</dcterms:created>
  <dcterms:modified xsi:type="dcterms:W3CDTF">2025-04-22T15:07:00Z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25.108.399</vt:lpwstr>
  </property>
</Properties>
</file>