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C3E35" w14:paraId="0063BF1D" w14:textId="77777777" w:rsidTr="00345119">
        <w:tc>
          <w:tcPr>
            <w:tcW w:w="9576" w:type="dxa"/>
            <w:noWrap/>
          </w:tcPr>
          <w:p w14:paraId="21A2DF78" w14:textId="77777777" w:rsidR="008423E4" w:rsidRPr="0022177D" w:rsidRDefault="008A06E7" w:rsidP="00921CC1">
            <w:pPr>
              <w:pStyle w:val="Heading1"/>
            </w:pPr>
            <w:r w:rsidRPr="00631897">
              <w:t>BILL ANALYSIS</w:t>
            </w:r>
          </w:p>
        </w:tc>
      </w:tr>
    </w:tbl>
    <w:p w14:paraId="0DA76337" w14:textId="77777777" w:rsidR="008423E4" w:rsidRPr="0022177D" w:rsidRDefault="008423E4" w:rsidP="00921CC1">
      <w:pPr>
        <w:jc w:val="center"/>
      </w:pPr>
    </w:p>
    <w:p w14:paraId="6995DC21" w14:textId="77777777" w:rsidR="008423E4" w:rsidRPr="00B31F0E" w:rsidRDefault="008423E4" w:rsidP="00921CC1"/>
    <w:p w14:paraId="352AD5D1" w14:textId="77777777" w:rsidR="008423E4" w:rsidRPr="00742794" w:rsidRDefault="008423E4" w:rsidP="00921CC1">
      <w:pPr>
        <w:tabs>
          <w:tab w:val="right" w:pos="9360"/>
        </w:tabs>
      </w:pPr>
    </w:p>
    <w:tbl>
      <w:tblPr>
        <w:tblW w:w="0" w:type="auto"/>
        <w:tblLayout w:type="fixed"/>
        <w:tblLook w:val="01E0" w:firstRow="1" w:lastRow="1" w:firstColumn="1" w:lastColumn="1" w:noHBand="0" w:noVBand="0"/>
      </w:tblPr>
      <w:tblGrid>
        <w:gridCol w:w="9576"/>
      </w:tblGrid>
      <w:tr w:rsidR="005C3E35" w14:paraId="52D8BD19" w14:textId="77777777" w:rsidTr="00345119">
        <w:tc>
          <w:tcPr>
            <w:tcW w:w="9576" w:type="dxa"/>
          </w:tcPr>
          <w:p w14:paraId="475995E8" w14:textId="70AB74C6" w:rsidR="008423E4" w:rsidRPr="00861995" w:rsidRDefault="008A06E7" w:rsidP="00921CC1">
            <w:pPr>
              <w:jc w:val="right"/>
            </w:pPr>
            <w:r>
              <w:t>C.S.H.B. 75</w:t>
            </w:r>
          </w:p>
        </w:tc>
      </w:tr>
      <w:tr w:rsidR="005C3E35" w14:paraId="78D0542A" w14:textId="77777777" w:rsidTr="00345119">
        <w:tc>
          <w:tcPr>
            <w:tcW w:w="9576" w:type="dxa"/>
          </w:tcPr>
          <w:p w14:paraId="5FDB3D6C" w14:textId="45AF49B5" w:rsidR="008423E4" w:rsidRPr="00861995" w:rsidRDefault="008A06E7" w:rsidP="00921CC1">
            <w:pPr>
              <w:jc w:val="right"/>
            </w:pPr>
            <w:r>
              <w:t xml:space="preserve">By: </w:t>
            </w:r>
            <w:r w:rsidR="00F57556">
              <w:t>Smithee</w:t>
            </w:r>
          </w:p>
        </w:tc>
      </w:tr>
      <w:tr w:rsidR="005C3E35" w14:paraId="2097191F" w14:textId="77777777" w:rsidTr="00345119">
        <w:tc>
          <w:tcPr>
            <w:tcW w:w="9576" w:type="dxa"/>
          </w:tcPr>
          <w:p w14:paraId="6B39B9BB" w14:textId="7CABCFD4" w:rsidR="008423E4" w:rsidRPr="00861995" w:rsidRDefault="008A06E7" w:rsidP="00921CC1">
            <w:pPr>
              <w:jc w:val="right"/>
            </w:pPr>
            <w:r>
              <w:t>Criminal Jurisprudence</w:t>
            </w:r>
          </w:p>
        </w:tc>
      </w:tr>
      <w:tr w:rsidR="005C3E35" w14:paraId="507AE7DD" w14:textId="77777777" w:rsidTr="00345119">
        <w:tc>
          <w:tcPr>
            <w:tcW w:w="9576" w:type="dxa"/>
          </w:tcPr>
          <w:p w14:paraId="5FAB7A2D" w14:textId="76B4B86D" w:rsidR="008423E4" w:rsidRDefault="008A06E7" w:rsidP="00921CC1">
            <w:pPr>
              <w:jc w:val="right"/>
            </w:pPr>
            <w:r>
              <w:t>Committee Report (Substituted)</w:t>
            </w:r>
          </w:p>
        </w:tc>
      </w:tr>
    </w:tbl>
    <w:p w14:paraId="161DE91F" w14:textId="77777777" w:rsidR="008423E4" w:rsidRDefault="008423E4" w:rsidP="00921CC1">
      <w:pPr>
        <w:tabs>
          <w:tab w:val="right" w:pos="9360"/>
        </w:tabs>
      </w:pPr>
    </w:p>
    <w:p w14:paraId="148509F4" w14:textId="77777777" w:rsidR="008423E4" w:rsidRDefault="008423E4" w:rsidP="00921CC1"/>
    <w:p w14:paraId="4EDB9840" w14:textId="77777777" w:rsidR="008423E4" w:rsidRDefault="008423E4" w:rsidP="00921CC1"/>
    <w:tbl>
      <w:tblPr>
        <w:tblW w:w="0" w:type="auto"/>
        <w:tblCellMar>
          <w:left w:w="115" w:type="dxa"/>
          <w:right w:w="115" w:type="dxa"/>
        </w:tblCellMar>
        <w:tblLook w:val="01E0" w:firstRow="1" w:lastRow="1" w:firstColumn="1" w:lastColumn="1" w:noHBand="0" w:noVBand="0"/>
      </w:tblPr>
      <w:tblGrid>
        <w:gridCol w:w="9360"/>
      </w:tblGrid>
      <w:tr w:rsidR="005C3E35" w14:paraId="0860B8E2" w14:textId="77777777" w:rsidTr="00921CC1">
        <w:tc>
          <w:tcPr>
            <w:tcW w:w="9360" w:type="dxa"/>
          </w:tcPr>
          <w:p w14:paraId="596CBB72" w14:textId="77777777" w:rsidR="008423E4" w:rsidRPr="00A8133F" w:rsidRDefault="008A06E7" w:rsidP="00921CC1">
            <w:pPr>
              <w:rPr>
                <w:b/>
              </w:rPr>
            </w:pPr>
            <w:r w:rsidRPr="009C1E9A">
              <w:rPr>
                <w:b/>
                <w:u w:val="single"/>
              </w:rPr>
              <w:t>BACKGROUND AND PURPOSE</w:t>
            </w:r>
            <w:r>
              <w:rPr>
                <w:b/>
              </w:rPr>
              <w:t xml:space="preserve"> </w:t>
            </w:r>
          </w:p>
          <w:p w14:paraId="3B5FE958" w14:textId="77777777" w:rsidR="008423E4" w:rsidRDefault="008423E4" w:rsidP="00921CC1"/>
          <w:p w14:paraId="6987A225" w14:textId="3EB892ED" w:rsidR="008423E4" w:rsidRDefault="008A06E7" w:rsidP="00921CC1">
            <w:pPr>
              <w:pStyle w:val="Header"/>
              <w:tabs>
                <w:tab w:val="clear" w:pos="4320"/>
                <w:tab w:val="clear" w:pos="8640"/>
              </w:tabs>
              <w:jc w:val="both"/>
            </w:pPr>
            <w:r w:rsidRPr="00643C7C">
              <w:t xml:space="preserve">In 2021, the </w:t>
            </w:r>
            <w:r>
              <w:t>Texas L</w:t>
            </w:r>
            <w:r w:rsidRPr="00643C7C">
              <w:t>egislature passed S</w:t>
            </w:r>
            <w:r>
              <w:t>.</w:t>
            </w:r>
            <w:r w:rsidRPr="00643C7C">
              <w:t>B</w:t>
            </w:r>
            <w:r>
              <w:t>.</w:t>
            </w:r>
            <w:r w:rsidRPr="00643C7C">
              <w:t xml:space="preserve"> 6</w:t>
            </w:r>
            <w:r>
              <w:t>,</w:t>
            </w:r>
            <w:r w:rsidRPr="00643C7C">
              <w:t xml:space="preserve"> </w:t>
            </w:r>
            <w:r>
              <w:t xml:space="preserve">the Damon Allen Act, which addressed </w:t>
            </w:r>
            <w:r w:rsidRPr="00643C7C">
              <w:t xml:space="preserve">the release </w:t>
            </w:r>
            <w:r>
              <w:t xml:space="preserve">of defendants charged with </w:t>
            </w:r>
            <w:r>
              <w:t>violent offenses or certain subsequent offenses, among other changes</w:t>
            </w:r>
            <w:r w:rsidRPr="00643C7C">
              <w:t xml:space="preserve">. </w:t>
            </w:r>
            <w:r>
              <w:t>The bill author has informed the committee that s</w:t>
            </w:r>
            <w:r w:rsidRPr="00643C7C">
              <w:t xml:space="preserve">ince </w:t>
            </w:r>
            <w:r>
              <w:t xml:space="preserve">the </w:t>
            </w:r>
            <w:r w:rsidRPr="00643C7C">
              <w:t>implementation</w:t>
            </w:r>
            <w:r>
              <w:t xml:space="preserve"> of that legislation</w:t>
            </w:r>
            <w:r w:rsidRPr="00643C7C">
              <w:t>, victims</w:t>
            </w:r>
            <w:r>
              <w:t>'</w:t>
            </w:r>
            <w:r w:rsidRPr="00643C7C">
              <w:t xml:space="preserve"> rights advocates, law enforcement, and </w:t>
            </w:r>
            <w:r>
              <w:t xml:space="preserve">other </w:t>
            </w:r>
            <w:r w:rsidRPr="00643C7C">
              <w:t xml:space="preserve">legislators have sought </w:t>
            </w:r>
            <w:r>
              <w:t xml:space="preserve">to </w:t>
            </w:r>
            <w:r w:rsidRPr="00643C7C">
              <w:t xml:space="preserve">change </w:t>
            </w:r>
            <w:r>
              <w:t xml:space="preserve">the </w:t>
            </w:r>
            <w:r w:rsidRPr="00643C7C">
              <w:t>duties of magistrates in bail proceedings.</w:t>
            </w:r>
            <w:r>
              <w:t xml:space="preserve"> </w:t>
            </w:r>
            <w:r w:rsidRPr="00643C7C">
              <w:t>C</w:t>
            </w:r>
            <w:r>
              <w:t>.</w:t>
            </w:r>
            <w:r w:rsidRPr="00643C7C">
              <w:t>S</w:t>
            </w:r>
            <w:r>
              <w:t>.</w:t>
            </w:r>
            <w:r w:rsidRPr="00643C7C">
              <w:t>H</w:t>
            </w:r>
            <w:r>
              <w:t>.</w:t>
            </w:r>
            <w:r w:rsidRPr="00643C7C">
              <w:t>B</w:t>
            </w:r>
            <w:r>
              <w:t>.</w:t>
            </w:r>
            <w:r w:rsidRPr="00643C7C">
              <w:t xml:space="preserve"> 75 </w:t>
            </w:r>
            <w:r>
              <w:t xml:space="preserve">seeks to implement this change by </w:t>
            </w:r>
            <w:r w:rsidRPr="00643C7C">
              <w:t>requir</w:t>
            </w:r>
            <w:r>
              <w:t>ing</w:t>
            </w:r>
            <w:r w:rsidRPr="00643C7C">
              <w:t xml:space="preserve"> magistrates to enter written findings within 24 hours of making a determination that there is no probable cause that a person committed the offense for which</w:t>
            </w:r>
            <w:r w:rsidRPr="00643C7C">
              <w:t xml:space="preserve"> the person was arrested.</w:t>
            </w:r>
          </w:p>
          <w:p w14:paraId="136442BB" w14:textId="77777777" w:rsidR="008423E4" w:rsidRPr="00E26B13" w:rsidRDefault="008423E4" w:rsidP="00921CC1">
            <w:pPr>
              <w:rPr>
                <w:b/>
              </w:rPr>
            </w:pPr>
          </w:p>
        </w:tc>
      </w:tr>
      <w:tr w:rsidR="005C3E35" w14:paraId="63E3797E" w14:textId="77777777" w:rsidTr="00921CC1">
        <w:tc>
          <w:tcPr>
            <w:tcW w:w="9360" w:type="dxa"/>
          </w:tcPr>
          <w:p w14:paraId="01A16B61" w14:textId="77777777" w:rsidR="0017725B" w:rsidRDefault="008A06E7" w:rsidP="00921CC1">
            <w:pPr>
              <w:rPr>
                <w:b/>
                <w:u w:val="single"/>
              </w:rPr>
            </w:pPr>
            <w:r>
              <w:rPr>
                <w:b/>
                <w:u w:val="single"/>
              </w:rPr>
              <w:t>CRIMINAL JUSTICE IMPACT</w:t>
            </w:r>
          </w:p>
          <w:p w14:paraId="28A12156" w14:textId="77777777" w:rsidR="0017725B" w:rsidRDefault="0017725B" w:rsidP="00921CC1">
            <w:pPr>
              <w:rPr>
                <w:b/>
                <w:u w:val="single"/>
              </w:rPr>
            </w:pPr>
          </w:p>
          <w:p w14:paraId="4888A374" w14:textId="51299E4F" w:rsidR="0017725B" w:rsidRPr="00B20CAD" w:rsidRDefault="008A06E7" w:rsidP="00921CC1">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3CF37BDC" w14:textId="77777777" w:rsidR="0017725B" w:rsidRPr="0017725B" w:rsidRDefault="0017725B" w:rsidP="00921CC1">
            <w:pPr>
              <w:rPr>
                <w:b/>
                <w:u w:val="single"/>
              </w:rPr>
            </w:pPr>
          </w:p>
        </w:tc>
      </w:tr>
      <w:tr w:rsidR="005C3E35" w14:paraId="0254039C" w14:textId="77777777" w:rsidTr="00921CC1">
        <w:tc>
          <w:tcPr>
            <w:tcW w:w="9360" w:type="dxa"/>
          </w:tcPr>
          <w:p w14:paraId="28B8B70F" w14:textId="77777777" w:rsidR="008423E4" w:rsidRPr="00A8133F" w:rsidRDefault="008A06E7" w:rsidP="00921CC1">
            <w:pPr>
              <w:rPr>
                <w:b/>
              </w:rPr>
            </w:pPr>
            <w:r w:rsidRPr="009C1E9A">
              <w:rPr>
                <w:b/>
                <w:u w:val="single"/>
              </w:rPr>
              <w:t>RULEMAKING AUTHORITY</w:t>
            </w:r>
            <w:r>
              <w:rPr>
                <w:b/>
              </w:rPr>
              <w:t xml:space="preserve"> </w:t>
            </w:r>
          </w:p>
          <w:p w14:paraId="51537D96" w14:textId="77777777" w:rsidR="008423E4" w:rsidRDefault="008423E4" w:rsidP="00921CC1"/>
          <w:p w14:paraId="0B05B3BE" w14:textId="0C12760C" w:rsidR="008423E4" w:rsidRDefault="008A06E7" w:rsidP="00921CC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4CD481A" w14:textId="77777777" w:rsidR="008423E4" w:rsidRPr="00E21FDC" w:rsidRDefault="008423E4" w:rsidP="00921CC1">
            <w:pPr>
              <w:rPr>
                <w:b/>
              </w:rPr>
            </w:pPr>
          </w:p>
        </w:tc>
      </w:tr>
      <w:tr w:rsidR="005C3E35" w14:paraId="79DA97C8" w14:textId="77777777" w:rsidTr="00921CC1">
        <w:tc>
          <w:tcPr>
            <w:tcW w:w="9360" w:type="dxa"/>
          </w:tcPr>
          <w:p w14:paraId="6C1B3C61" w14:textId="77777777" w:rsidR="008423E4" w:rsidRPr="00A8133F" w:rsidRDefault="008A06E7" w:rsidP="00921CC1">
            <w:pPr>
              <w:rPr>
                <w:b/>
              </w:rPr>
            </w:pPr>
            <w:r w:rsidRPr="009C1E9A">
              <w:rPr>
                <w:b/>
                <w:u w:val="single"/>
              </w:rPr>
              <w:t>ANALYSIS</w:t>
            </w:r>
            <w:r>
              <w:rPr>
                <w:b/>
              </w:rPr>
              <w:t xml:space="preserve"> </w:t>
            </w:r>
          </w:p>
          <w:p w14:paraId="6BE844BB" w14:textId="77777777" w:rsidR="008423E4" w:rsidRDefault="008423E4" w:rsidP="00921CC1"/>
          <w:p w14:paraId="56915BF1" w14:textId="77777777" w:rsidR="00F57556" w:rsidRDefault="008A06E7" w:rsidP="00921CC1">
            <w:pPr>
              <w:pStyle w:val="Header"/>
              <w:tabs>
                <w:tab w:val="clear" w:pos="4320"/>
                <w:tab w:val="clear" w:pos="8640"/>
              </w:tabs>
              <w:jc w:val="both"/>
            </w:pPr>
            <w:r>
              <w:t xml:space="preserve">C.S.H.B. 75 amends the Code of Criminal Procedure to require a magistrate, not </w:t>
            </w:r>
            <w:r w:rsidRPr="007B4192">
              <w:t xml:space="preserve">later than 24 hours after the time </w:t>
            </w:r>
            <w:r>
              <w:t>the</w:t>
            </w:r>
            <w:r w:rsidRPr="007B4192">
              <w:t xml:space="preserve"> magistrate determines that no probable cause exists to believe that a person committed </w:t>
            </w:r>
            <w:r>
              <w:t>the</w:t>
            </w:r>
            <w:r w:rsidRPr="007B4192">
              <w:t xml:space="preserve"> offense for which </w:t>
            </w:r>
            <w:r>
              <w:t>the</w:t>
            </w:r>
            <w:r w:rsidRPr="007B4192">
              <w:t xml:space="preserve"> person was arrested,</w:t>
            </w:r>
            <w:r>
              <w:t xml:space="preserve"> to enter in the record written findings</w:t>
            </w:r>
            <w:r w:rsidRPr="007B4192">
              <w:t xml:space="preserve"> to support that finding.</w:t>
            </w:r>
          </w:p>
          <w:p w14:paraId="21811348" w14:textId="77777777" w:rsidR="00F57556" w:rsidRDefault="00F57556" w:rsidP="00921CC1">
            <w:pPr>
              <w:pStyle w:val="Header"/>
              <w:jc w:val="both"/>
              <w:rPr>
                <w:bCs/>
              </w:rPr>
            </w:pPr>
          </w:p>
          <w:p w14:paraId="48A1B5A4" w14:textId="6FCD65C1" w:rsidR="009C36CD" w:rsidRPr="009C36CD" w:rsidRDefault="008A06E7" w:rsidP="00921CC1">
            <w:pPr>
              <w:pStyle w:val="Header"/>
              <w:tabs>
                <w:tab w:val="clear" w:pos="4320"/>
                <w:tab w:val="clear" w:pos="8640"/>
              </w:tabs>
              <w:jc w:val="both"/>
            </w:pPr>
            <w:r>
              <w:rPr>
                <w:bCs/>
              </w:rPr>
              <w:t xml:space="preserve">C.S.H.B. 75 </w:t>
            </w:r>
            <w:r w:rsidRPr="009D0CB3">
              <w:rPr>
                <w:bCs/>
              </w:rPr>
              <w:t xml:space="preserve">applies only to an offense committed on or after the </w:t>
            </w:r>
            <w:r>
              <w:rPr>
                <w:bCs/>
              </w:rPr>
              <w:t xml:space="preserve">bill's </w:t>
            </w:r>
            <w:r w:rsidRPr="009D0CB3">
              <w:rPr>
                <w:bCs/>
              </w:rPr>
              <w:t xml:space="preserve">effective date. An offense committed before </w:t>
            </w:r>
            <w:r>
              <w:rPr>
                <w:bCs/>
              </w:rPr>
              <w:t>that date</w:t>
            </w:r>
            <w:r w:rsidRPr="009D0CB3">
              <w:rPr>
                <w:bCs/>
              </w:rPr>
              <w:t xml:space="preserve"> is governed by the law in effect on the date the offense was committed, and the former law is continued in effect for that purpose. For </w:t>
            </w:r>
            <w:r>
              <w:rPr>
                <w:bCs/>
              </w:rPr>
              <w:t xml:space="preserve">these </w:t>
            </w:r>
            <w:r w:rsidRPr="009D0CB3">
              <w:rPr>
                <w:bCs/>
              </w:rPr>
              <w:t xml:space="preserve">purposes, an offense was committed before the </w:t>
            </w:r>
            <w:r>
              <w:rPr>
                <w:bCs/>
              </w:rPr>
              <w:t xml:space="preserve">bill's </w:t>
            </w:r>
            <w:r w:rsidRPr="009D0CB3">
              <w:rPr>
                <w:bCs/>
              </w:rPr>
              <w:t>effective date if any element of the offense occurred before that date.</w:t>
            </w:r>
          </w:p>
          <w:p w14:paraId="7EC22A38" w14:textId="77777777" w:rsidR="008423E4" w:rsidRPr="00835628" w:rsidRDefault="008423E4" w:rsidP="00921CC1">
            <w:pPr>
              <w:rPr>
                <w:b/>
              </w:rPr>
            </w:pPr>
          </w:p>
        </w:tc>
      </w:tr>
      <w:tr w:rsidR="005C3E35" w14:paraId="581B76FC" w14:textId="77777777" w:rsidTr="00921CC1">
        <w:tc>
          <w:tcPr>
            <w:tcW w:w="9360" w:type="dxa"/>
          </w:tcPr>
          <w:p w14:paraId="51FDD428" w14:textId="77777777" w:rsidR="008423E4" w:rsidRPr="00A8133F" w:rsidRDefault="008A06E7" w:rsidP="00921CC1">
            <w:pPr>
              <w:rPr>
                <w:b/>
              </w:rPr>
            </w:pPr>
            <w:r w:rsidRPr="009C1E9A">
              <w:rPr>
                <w:b/>
                <w:u w:val="single"/>
              </w:rPr>
              <w:t>EFFECTIVE DATE</w:t>
            </w:r>
            <w:r>
              <w:rPr>
                <w:b/>
              </w:rPr>
              <w:t xml:space="preserve"> </w:t>
            </w:r>
          </w:p>
          <w:p w14:paraId="11C0F028" w14:textId="77777777" w:rsidR="008423E4" w:rsidRDefault="008423E4" w:rsidP="00921CC1"/>
          <w:p w14:paraId="31C9D80B" w14:textId="48DD6C10" w:rsidR="008423E4" w:rsidRPr="003624F2" w:rsidRDefault="008A06E7" w:rsidP="00921CC1">
            <w:pPr>
              <w:pStyle w:val="Header"/>
              <w:tabs>
                <w:tab w:val="clear" w:pos="4320"/>
                <w:tab w:val="clear" w:pos="8640"/>
              </w:tabs>
              <w:jc w:val="both"/>
            </w:pPr>
            <w:r>
              <w:t>September 1, 2025.</w:t>
            </w:r>
          </w:p>
          <w:p w14:paraId="2771E99A" w14:textId="77777777" w:rsidR="008423E4" w:rsidRPr="00233FDB" w:rsidRDefault="008423E4" w:rsidP="00921CC1">
            <w:pPr>
              <w:rPr>
                <w:b/>
              </w:rPr>
            </w:pPr>
          </w:p>
        </w:tc>
      </w:tr>
      <w:tr w:rsidR="005C3E35" w14:paraId="6C28B99D" w14:textId="77777777" w:rsidTr="00921CC1">
        <w:tc>
          <w:tcPr>
            <w:tcW w:w="9360" w:type="dxa"/>
          </w:tcPr>
          <w:p w14:paraId="4E8B00EC" w14:textId="77777777" w:rsidR="00F57556" w:rsidRDefault="008A06E7" w:rsidP="00921CC1">
            <w:pPr>
              <w:jc w:val="both"/>
              <w:rPr>
                <w:b/>
                <w:u w:val="single"/>
              </w:rPr>
            </w:pPr>
            <w:r>
              <w:rPr>
                <w:b/>
                <w:u w:val="single"/>
              </w:rPr>
              <w:t>COMPARISON OF INTRODUCED AND SUBSTITUTE</w:t>
            </w:r>
          </w:p>
          <w:p w14:paraId="596939E7" w14:textId="77777777" w:rsidR="002365C7" w:rsidRDefault="002365C7" w:rsidP="00921CC1">
            <w:pPr>
              <w:jc w:val="both"/>
            </w:pPr>
          </w:p>
          <w:p w14:paraId="75178E5B" w14:textId="5E052C33" w:rsidR="002365C7" w:rsidRDefault="008A06E7" w:rsidP="00921CC1">
            <w:pPr>
              <w:jc w:val="both"/>
            </w:pPr>
            <w:r>
              <w:t xml:space="preserve">While C.S.H.B. 75 may differ from the introduced in minor or nonsubstantive ways, the </w:t>
            </w:r>
            <w:r>
              <w:t>following summarizes the substantial differences between the introduced and committee substitute versions of the bill.</w:t>
            </w:r>
          </w:p>
          <w:p w14:paraId="2B2B499B" w14:textId="77777777" w:rsidR="002365C7" w:rsidRPr="00921CC1" w:rsidRDefault="002365C7" w:rsidP="00921CC1">
            <w:pPr>
              <w:jc w:val="both"/>
            </w:pPr>
          </w:p>
          <w:p w14:paraId="0B50409C" w14:textId="77777777" w:rsidR="002365C7" w:rsidRDefault="002365C7" w:rsidP="00921CC1">
            <w:pPr>
              <w:jc w:val="both"/>
              <w:rPr>
                <w:b/>
                <w:u w:val="single"/>
              </w:rPr>
            </w:pPr>
          </w:p>
          <w:p w14:paraId="77FC41F7" w14:textId="77777777" w:rsidR="00F57556" w:rsidRDefault="008A06E7" w:rsidP="00921CC1">
            <w:pPr>
              <w:pStyle w:val="Header"/>
              <w:jc w:val="both"/>
              <w:rPr>
                <w:bCs/>
              </w:rPr>
            </w:pPr>
            <w:r>
              <w:rPr>
                <w:bCs/>
              </w:rPr>
              <w:t>Both the</w:t>
            </w:r>
            <w:r w:rsidRPr="003C265C">
              <w:rPr>
                <w:bCs/>
              </w:rPr>
              <w:t xml:space="preserve"> introduced and substitute require a magistrate, not later than 24 hours after the time the magistrate determines that no probable cause exists to believe that a person committed the offense for which the person was arrested, to take certain actions to support that finding</w:t>
            </w:r>
            <w:r>
              <w:rPr>
                <w:bCs/>
              </w:rPr>
              <w:t>. However,</w:t>
            </w:r>
            <w:r w:rsidRPr="003C265C">
              <w:rPr>
                <w:bCs/>
              </w:rPr>
              <w:t xml:space="preserve"> the introduced required a magistrate to make oral or written findings of fact and conclusions of law on the record</w:t>
            </w:r>
            <w:r>
              <w:rPr>
                <w:bCs/>
              </w:rPr>
              <w:t xml:space="preserve"> to support the finding</w:t>
            </w:r>
            <w:r w:rsidRPr="003C265C">
              <w:rPr>
                <w:bCs/>
              </w:rPr>
              <w:t>,</w:t>
            </w:r>
            <w:r>
              <w:rPr>
                <w:bCs/>
              </w:rPr>
              <w:t xml:space="preserve"> whereas</w:t>
            </w:r>
            <w:r w:rsidRPr="003C265C">
              <w:rPr>
                <w:bCs/>
              </w:rPr>
              <w:t xml:space="preserve"> the substitute requires a magistrate to enter in the record written findings to s</w:t>
            </w:r>
            <w:r w:rsidRPr="003C265C">
              <w:rPr>
                <w:bCs/>
              </w:rPr>
              <w:t xml:space="preserve">upport </w:t>
            </w:r>
            <w:r>
              <w:rPr>
                <w:bCs/>
              </w:rPr>
              <w:t>the finding.</w:t>
            </w:r>
          </w:p>
          <w:p w14:paraId="237BA2F5" w14:textId="77777777" w:rsidR="00F57556" w:rsidRPr="003C265C" w:rsidRDefault="00F57556" w:rsidP="00921CC1">
            <w:pPr>
              <w:pStyle w:val="Header"/>
              <w:jc w:val="both"/>
              <w:rPr>
                <w:bCs/>
              </w:rPr>
            </w:pPr>
          </w:p>
          <w:p w14:paraId="59275F27" w14:textId="77777777" w:rsidR="00F57556" w:rsidRPr="003C265C" w:rsidRDefault="008A06E7" w:rsidP="00921CC1">
            <w:pPr>
              <w:pStyle w:val="Header"/>
              <w:jc w:val="both"/>
              <w:rPr>
                <w:bCs/>
              </w:rPr>
            </w:pPr>
            <w:r>
              <w:rPr>
                <w:bCs/>
              </w:rPr>
              <w:t>The</w:t>
            </w:r>
            <w:r w:rsidRPr="003C265C">
              <w:rPr>
                <w:bCs/>
              </w:rPr>
              <w:t xml:space="preserve"> substitute omits the following provisions that appeared in the introduced:</w:t>
            </w:r>
          </w:p>
          <w:p w14:paraId="567A4650" w14:textId="3D16FE1A" w:rsidR="00F57556" w:rsidRDefault="008A06E7" w:rsidP="00921CC1">
            <w:pPr>
              <w:pStyle w:val="Header"/>
              <w:numPr>
                <w:ilvl w:val="0"/>
                <w:numId w:val="1"/>
              </w:numPr>
              <w:jc w:val="both"/>
              <w:rPr>
                <w:bCs/>
              </w:rPr>
            </w:pPr>
            <w:r>
              <w:rPr>
                <w:bCs/>
              </w:rPr>
              <w:t>the prohibition against</w:t>
            </w:r>
            <w:r w:rsidRPr="009829CE">
              <w:rPr>
                <w:bCs/>
              </w:rPr>
              <w:t xml:space="preserve"> a criminal law hearing officer in Harris County or Cameron County releasing on bail a defendant who </w:t>
            </w:r>
            <w:r>
              <w:rPr>
                <w:bCs/>
              </w:rPr>
              <w:t>is, as follows:</w:t>
            </w:r>
          </w:p>
          <w:p w14:paraId="2BE86187" w14:textId="77777777" w:rsidR="00F57556" w:rsidRDefault="008A06E7" w:rsidP="00921CC1">
            <w:pPr>
              <w:pStyle w:val="Header"/>
              <w:numPr>
                <w:ilvl w:val="1"/>
                <w:numId w:val="1"/>
              </w:numPr>
              <w:jc w:val="both"/>
              <w:rPr>
                <w:bCs/>
              </w:rPr>
            </w:pPr>
            <w:r>
              <w:rPr>
                <w:bCs/>
              </w:rPr>
              <w:t>charged with committing an offense punishable as a felony if the defendant:</w:t>
            </w:r>
          </w:p>
          <w:p w14:paraId="0CF23231" w14:textId="77777777" w:rsidR="00F57556" w:rsidRPr="00614DDD" w:rsidRDefault="008A06E7" w:rsidP="00921CC1">
            <w:pPr>
              <w:pStyle w:val="Header"/>
              <w:numPr>
                <w:ilvl w:val="2"/>
                <w:numId w:val="1"/>
              </w:numPr>
              <w:jc w:val="both"/>
              <w:rPr>
                <w:bCs/>
              </w:rPr>
            </w:pPr>
            <w:r w:rsidRPr="00614DDD">
              <w:rPr>
                <w:bCs/>
              </w:rPr>
              <w:t>was on parole at the time of the offense;</w:t>
            </w:r>
          </w:p>
          <w:p w14:paraId="427C337A" w14:textId="77777777" w:rsidR="00F57556" w:rsidRPr="00614DDD" w:rsidRDefault="008A06E7" w:rsidP="00921CC1">
            <w:pPr>
              <w:pStyle w:val="Header"/>
              <w:numPr>
                <w:ilvl w:val="2"/>
                <w:numId w:val="1"/>
              </w:numPr>
              <w:jc w:val="both"/>
              <w:rPr>
                <w:bCs/>
              </w:rPr>
            </w:pPr>
            <w:r w:rsidRPr="00614DDD">
              <w:rPr>
                <w:bCs/>
              </w:rPr>
              <w:t>has previously been finally convicted of two or more offenses punishable as a felony and for which the defendant was imprisoned in the Texas Department of Criminal Justice; or</w:t>
            </w:r>
          </w:p>
          <w:p w14:paraId="31CFB992" w14:textId="77777777" w:rsidR="00F57556" w:rsidRDefault="008A06E7" w:rsidP="00921CC1">
            <w:pPr>
              <w:pStyle w:val="Header"/>
              <w:numPr>
                <w:ilvl w:val="2"/>
                <w:numId w:val="1"/>
              </w:numPr>
              <w:jc w:val="both"/>
              <w:rPr>
                <w:bCs/>
              </w:rPr>
            </w:pPr>
            <w:r w:rsidRPr="00614DDD">
              <w:rPr>
                <w:bCs/>
              </w:rPr>
              <w:t>is subject to an immigration detainer issued by United States Immigration and Customs Enforcement; or</w:t>
            </w:r>
          </w:p>
          <w:p w14:paraId="090EDF3F" w14:textId="77777777" w:rsidR="00F57556" w:rsidRDefault="008A06E7" w:rsidP="00921CC1">
            <w:pPr>
              <w:pStyle w:val="Header"/>
              <w:numPr>
                <w:ilvl w:val="1"/>
                <w:numId w:val="1"/>
              </w:numPr>
              <w:jc w:val="both"/>
              <w:rPr>
                <w:bCs/>
              </w:rPr>
            </w:pPr>
            <w:r w:rsidRPr="00614DDD">
              <w:rPr>
                <w:bCs/>
              </w:rPr>
              <w:t xml:space="preserve">charged with committing </w:t>
            </w:r>
            <w:r>
              <w:rPr>
                <w:bCs/>
              </w:rPr>
              <w:t>the following</w:t>
            </w:r>
            <w:r w:rsidRPr="00614DDD">
              <w:rPr>
                <w:bCs/>
              </w:rPr>
              <w:t xml:space="preserve"> offense</w:t>
            </w:r>
            <w:r>
              <w:rPr>
                <w:bCs/>
              </w:rPr>
              <w:t>s: murder, capital murder, aggravated kidnapping, aggravated assault, or aggravated sexual assault;</w:t>
            </w:r>
          </w:p>
          <w:p w14:paraId="1A973920" w14:textId="77777777" w:rsidR="00F57556" w:rsidRDefault="008A06E7" w:rsidP="00921CC1">
            <w:pPr>
              <w:pStyle w:val="Header"/>
              <w:numPr>
                <w:ilvl w:val="0"/>
                <w:numId w:val="1"/>
              </w:numPr>
              <w:jc w:val="both"/>
              <w:rPr>
                <w:bCs/>
              </w:rPr>
            </w:pPr>
            <w:r w:rsidRPr="003C265C">
              <w:rPr>
                <w:bCs/>
              </w:rPr>
              <w:t>provision</w:t>
            </w:r>
            <w:r>
              <w:rPr>
                <w:bCs/>
              </w:rPr>
              <w:t>s</w:t>
            </w:r>
            <w:r w:rsidRPr="003C265C">
              <w:rPr>
                <w:bCs/>
              </w:rPr>
              <w:t xml:space="preserve"> </w:t>
            </w:r>
            <w:r>
              <w:rPr>
                <w:bCs/>
              </w:rPr>
              <w:t>that did the following:</w:t>
            </w:r>
          </w:p>
          <w:p w14:paraId="36772DCF" w14:textId="77777777" w:rsidR="00F57556" w:rsidRDefault="008A06E7" w:rsidP="00921CC1">
            <w:pPr>
              <w:pStyle w:val="Header"/>
              <w:numPr>
                <w:ilvl w:val="1"/>
                <w:numId w:val="1"/>
              </w:numPr>
              <w:jc w:val="both"/>
              <w:rPr>
                <w:bCs/>
              </w:rPr>
            </w:pPr>
            <w:r>
              <w:rPr>
                <w:bCs/>
              </w:rPr>
              <w:t>included</w:t>
            </w:r>
            <w:r w:rsidRPr="003C265C">
              <w:rPr>
                <w:bCs/>
              </w:rPr>
              <w:t xml:space="preserve"> among the conditions under which the release of a defendant on personal bond is prohibited the condition that the defendant is charged with</w:t>
            </w:r>
            <w:r>
              <w:rPr>
                <w:bCs/>
              </w:rPr>
              <w:t xml:space="preserve"> the following offenses:</w:t>
            </w:r>
          </w:p>
          <w:p w14:paraId="152525FC" w14:textId="77777777" w:rsidR="00F57556" w:rsidRDefault="008A06E7" w:rsidP="00921CC1">
            <w:pPr>
              <w:pStyle w:val="Header"/>
              <w:numPr>
                <w:ilvl w:val="2"/>
                <w:numId w:val="1"/>
              </w:numPr>
              <w:jc w:val="both"/>
              <w:rPr>
                <w:bCs/>
              </w:rPr>
            </w:pPr>
            <w:r>
              <w:rPr>
                <w:bCs/>
              </w:rPr>
              <w:t>murder as a result of manufacture or delivery of a controlled substance in Penalty Group 1-B of the Texas Controlled Substances Act;</w:t>
            </w:r>
          </w:p>
          <w:p w14:paraId="4D2EE879" w14:textId="77777777" w:rsidR="00F57556" w:rsidRDefault="008A06E7" w:rsidP="00921CC1">
            <w:pPr>
              <w:pStyle w:val="Header"/>
              <w:numPr>
                <w:ilvl w:val="2"/>
                <w:numId w:val="1"/>
              </w:numPr>
              <w:jc w:val="both"/>
              <w:rPr>
                <w:bCs/>
              </w:rPr>
            </w:pPr>
            <w:r w:rsidRPr="007D1EDB">
              <w:rPr>
                <w:bCs/>
              </w:rPr>
              <w:t>violation of certain court orders or conditions of bond in a family violence, child abuse or neglect, sexual assault or abuse, indecent assault, stalking, or trafficking case</w:t>
            </w:r>
            <w:r>
              <w:rPr>
                <w:bCs/>
              </w:rPr>
              <w:t>; or</w:t>
            </w:r>
          </w:p>
          <w:p w14:paraId="1B993F14" w14:textId="361EF780" w:rsidR="00F57556" w:rsidRDefault="008A06E7" w:rsidP="00921CC1">
            <w:pPr>
              <w:pStyle w:val="Header"/>
              <w:numPr>
                <w:ilvl w:val="2"/>
                <w:numId w:val="1"/>
              </w:numPr>
              <w:jc w:val="both"/>
              <w:rPr>
                <w:bCs/>
              </w:rPr>
            </w:pPr>
            <w:r>
              <w:rPr>
                <w:bCs/>
              </w:rPr>
              <w:t>unlawful possession of a firearm</w:t>
            </w:r>
            <w:r w:rsidR="00AE105E">
              <w:rPr>
                <w:bCs/>
              </w:rPr>
              <w:t>;</w:t>
            </w:r>
            <w:r w:rsidR="002365C7">
              <w:rPr>
                <w:bCs/>
              </w:rPr>
              <w:t xml:space="preserve"> and</w:t>
            </w:r>
          </w:p>
          <w:p w14:paraId="6115A2ED" w14:textId="77777777" w:rsidR="00F57556" w:rsidRDefault="008A06E7" w:rsidP="00921CC1">
            <w:pPr>
              <w:pStyle w:val="Header"/>
              <w:numPr>
                <w:ilvl w:val="1"/>
                <w:numId w:val="1"/>
              </w:numPr>
              <w:jc w:val="both"/>
              <w:rPr>
                <w:bCs/>
              </w:rPr>
            </w:pPr>
            <w:r w:rsidRPr="009829CE">
              <w:rPr>
                <w:bCs/>
              </w:rPr>
              <w:t>prohibit</w:t>
            </w:r>
            <w:r>
              <w:rPr>
                <w:bCs/>
              </w:rPr>
              <w:t>ed</w:t>
            </w:r>
            <w:r w:rsidRPr="009829CE">
              <w:rPr>
                <w:bCs/>
              </w:rPr>
              <w:t xml:space="preserve"> the release on personal bond of any defendant charged with a terroristic threat offense, regardless of whether the defendant is on bail or community supervision for an offense</w:t>
            </w:r>
            <w:r>
              <w:rPr>
                <w:bCs/>
              </w:rPr>
              <w:t xml:space="preserve"> involving violence;</w:t>
            </w:r>
          </w:p>
          <w:p w14:paraId="161854F0" w14:textId="77777777" w:rsidR="00F57556" w:rsidRPr="007D1EDB" w:rsidRDefault="008A06E7" w:rsidP="00921CC1">
            <w:pPr>
              <w:pStyle w:val="Header"/>
              <w:numPr>
                <w:ilvl w:val="0"/>
                <w:numId w:val="1"/>
              </w:numPr>
              <w:jc w:val="both"/>
              <w:rPr>
                <w:bCs/>
              </w:rPr>
            </w:pPr>
            <w:r>
              <w:rPr>
                <w:bCs/>
              </w:rPr>
              <w:t>the</w:t>
            </w:r>
            <w:r w:rsidRPr="007D1EDB">
              <w:rPr>
                <w:bCs/>
              </w:rPr>
              <w:t xml:space="preserve"> provision that revised the requirement for a charitable bail organization by a specified deadline to submit to the sheriff of each county in which the organization files an affidavit designating the individuals authorized to pay bonds on behalf of the organization as follows:</w:t>
            </w:r>
          </w:p>
          <w:p w14:paraId="3E7F31D0" w14:textId="77777777" w:rsidR="00F57556" w:rsidRPr="009829CE" w:rsidRDefault="008A06E7" w:rsidP="00921CC1">
            <w:pPr>
              <w:pStyle w:val="Header"/>
              <w:numPr>
                <w:ilvl w:val="1"/>
                <w:numId w:val="1"/>
              </w:numPr>
              <w:jc w:val="both"/>
              <w:rPr>
                <w:bCs/>
              </w:rPr>
            </w:pPr>
            <w:r w:rsidRPr="009829CE">
              <w:rPr>
                <w:bCs/>
              </w:rPr>
              <w:t>change</w:t>
            </w:r>
            <w:r>
              <w:rPr>
                <w:bCs/>
              </w:rPr>
              <w:t>d</w:t>
            </w:r>
            <w:r w:rsidRPr="009829CE">
              <w:rPr>
                <w:bCs/>
              </w:rPr>
              <w:t xml:space="preserve"> the recipient of the report to the Office of Court Administration of the Texas Judicial System (OCA); and</w:t>
            </w:r>
          </w:p>
          <w:p w14:paraId="30A6BC00" w14:textId="77777777" w:rsidR="00F57556" w:rsidRPr="009829CE" w:rsidRDefault="008A06E7" w:rsidP="00921CC1">
            <w:pPr>
              <w:pStyle w:val="Header"/>
              <w:numPr>
                <w:ilvl w:val="1"/>
                <w:numId w:val="1"/>
              </w:numPr>
              <w:jc w:val="both"/>
              <w:rPr>
                <w:bCs/>
              </w:rPr>
            </w:pPr>
            <w:r w:rsidRPr="009829CE">
              <w:rPr>
                <w:bCs/>
              </w:rPr>
              <w:t>include</w:t>
            </w:r>
            <w:r>
              <w:rPr>
                <w:bCs/>
              </w:rPr>
              <w:t>d</w:t>
            </w:r>
            <w:r w:rsidRPr="009829CE">
              <w:rPr>
                <w:bCs/>
              </w:rPr>
              <w:t xml:space="preserve"> among the required contents of the report the following information for each defendant for whom the organization paid a bail bond in the preceding calendar month: each charge for which the bond was paid, the amount of the bond paid, and whether a bond forfeiture has occurred in connection with the charge for which the bond was paid</w:t>
            </w:r>
            <w:r>
              <w:rPr>
                <w:bCs/>
              </w:rPr>
              <w:t>;</w:t>
            </w:r>
          </w:p>
          <w:p w14:paraId="078711C3" w14:textId="77777777" w:rsidR="00F57556" w:rsidRDefault="008A06E7" w:rsidP="00921CC1">
            <w:pPr>
              <w:pStyle w:val="Header"/>
              <w:numPr>
                <w:ilvl w:val="0"/>
                <w:numId w:val="1"/>
              </w:numPr>
              <w:jc w:val="both"/>
              <w:rPr>
                <w:bCs/>
              </w:rPr>
            </w:pPr>
            <w:r>
              <w:rPr>
                <w:bCs/>
              </w:rPr>
              <w:t>the requirement for</w:t>
            </w:r>
            <w:r w:rsidRPr="009829CE">
              <w:rPr>
                <w:bCs/>
              </w:rPr>
              <w:t xml:space="preserve"> OCA, if OCA has reason to believe that a charitable bail organization may have paid one or more bonds in violation of provisions governing charitable bail organizations, to report that information to the sheriff of the county in which the suspected violation occurred</w:t>
            </w:r>
            <w:r>
              <w:rPr>
                <w:bCs/>
              </w:rPr>
              <w:t>;</w:t>
            </w:r>
          </w:p>
          <w:p w14:paraId="63C11D6F" w14:textId="5D09AAFC" w:rsidR="00F57556" w:rsidRDefault="008A06E7" w:rsidP="00921CC1">
            <w:pPr>
              <w:pStyle w:val="Header"/>
              <w:numPr>
                <w:ilvl w:val="0"/>
                <w:numId w:val="1"/>
              </w:numPr>
              <w:jc w:val="both"/>
              <w:rPr>
                <w:bCs/>
              </w:rPr>
            </w:pPr>
            <w:r>
              <w:rPr>
                <w:bCs/>
              </w:rPr>
              <w:t>the prohibition against</w:t>
            </w:r>
            <w:r w:rsidRPr="009829CE">
              <w:rPr>
                <w:bCs/>
              </w:rPr>
              <w:t xml:space="preserve"> a magistrate who is not a justice of the supreme court, a judge of the court of criminal appeals, a justice of the courts of appeals, or a judge of a district court modifying the amount or conditions of bond set by a district court judge, including the judge of a district court in another county</w:t>
            </w:r>
            <w:r>
              <w:rPr>
                <w:bCs/>
              </w:rPr>
              <w:t>;</w:t>
            </w:r>
          </w:p>
          <w:p w14:paraId="029322FD" w14:textId="56F17C4F" w:rsidR="00F57556" w:rsidRPr="00C42544" w:rsidRDefault="008A06E7" w:rsidP="00921CC1">
            <w:pPr>
              <w:pStyle w:val="Header"/>
              <w:numPr>
                <w:ilvl w:val="0"/>
                <w:numId w:val="1"/>
              </w:numPr>
              <w:jc w:val="both"/>
              <w:rPr>
                <w:bCs/>
              </w:rPr>
            </w:pPr>
            <w:r>
              <w:rPr>
                <w:bCs/>
              </w:rPr>
              <w:t>the prohibition against</w:t>
            </w:r>
            <w:r w:rsidRPr="009829CE">
              <w:rPr>
                <w:bCs/>
              </w:rPr>
              <w:t xml:space="preserve"> any magistrate releasing on bail a defendant charged with an offense punishable as a felony unless </w:t>
            </w:r>
            <w:r w:rsidRPr="00C42544">
              <w:rPr>
                <w:bCs/>
              </w:rPr>
              <w:t>the defendant has appeared before the magistrate and</w:t>
            </w:r>
            <w:r>
              <w:rPr>
                <w:bCs/>
              </w:rPr>
              <w:t xml:space="preserve"> </w:t>
            </w:r>
            <w:r w:rsidRPr="00C42544">
              <w:rPr>
                <w:bCs/>
              </w:rPr>
              <w:t>the magistrate has considered the public safety report prepared for the defendant</w:t>
            </w:r>
            <w:r>
              <w:rPr>
                <w:bCs/>
              </w:rPr>
              <w:t>;</w:t>
            </w:r>
          </w:p>
          <w:p w14:paraId="61B1FA75" w14:textId="77777777" w:rsidR="00F57556" w:rsidRDefault="008A06E7" w:rsidP="00921CC1">
            <w:pPr>
              <w:pStyle w:val="Header"/>
              <w:numPr>
                <w:ilvl w:val="0"/>
                <w:numId w:val="1"/>
              </w:numPr>
              <w:jc w:val="both"/>
              <w:rPr>
                <w:bCs/>
              </w:rPr>
            </w:pPr>
            <w:r>
              <w:rPr>
                <w:bCs/>
              </w:rPr>
              <w:t xml:space="preserve">the provision that entitled </w:t>
            </w:r>
            <w:r w:rsidRPr="009829CE">
              <w:rPr>
                <w:bCs/>
              </w:rPr>
              <w:t>the state to appeal an order of a court in a criminal case that grants bail, in an amount considered insufficient by the prosecuting attorney, to a defendant who is charged with an offense punishable as a felony and has previously been granted bail for a pending offense punishable as a felony</w:t>
            </w:r>
            <w:r>
              <w:rPr>
                <w:bCs/>
              </w:rPr>
              <w:t>; and</w:t>
            </w:r>
          </w:p>
          <w:p w14:paraId="03E23D57" w14:textId="77777777" w:rsidR="00F57556" w:rsidRDefault="008A06E7" w:rsidP="00921CC1">
            <w:pPr>
              <w:pStyle w:val="Header"/>
              <w:numPr>
                <w:ilvl w:val="0"/>
                <w:numId w:val="1"/>
              </w:numPr>
              <w:jc w:val="both"/>
              <w:rPr>
                <w:bCs/>
              </w:rPr>
            </w:pPr>
            <w:r>
              <w:rPr>
                <w:bCs/>
              </w:rPr>
              <w:t xml:space="preserve">the provision that </w:t>
            </w:r>
            <w:r w:rsidRPr="009829CE">
              <w:rPr>
                <w:bCs/>
              </w:rPr>
              <w:t>establishe</w:t>
            </w:r>
            <w:r>
              <w:rPr>
                <w:bCs/>
              </w:rPr>
              <w:t>d</w:t>
            </w:r>
            <w:r w:rsidRPr="009829CE">
              <w:rPr>
                <w:bCs/>
              </w:rPr>
              <w:t xml:space="preserve"> that a defendant who is in custody and for whom the state appeals an order granting bail in an amount considered insufficient by the prosecuting attorney is not entitled to bail and must be held in custody during the pendency of the appeal</w:t>
            </w:r>
            <w:r>
              <w:rPr>
                <w:bCs/>
              </w:rPr>
              <w:t>.</w:t>
            </w:r>
          </w:p>
          <w:p w14:paraId="778093C3" w14:textId="77777777" w:rsidR="00F57556" w:rsidRDefault="00F57556" w:rsidP="00921CC1">
            <w:pPr>
              <w:pStyle w:val="Header"/>
              <w:jc w:val="both"/>
              <w:rPr>
                <w:bCs/>
              </w:rPr>
            </w:pPr>
          </w:p>
          <w:p w14:paraId="30BA9FFB" w14:textId="77777777" w:rsidR="00F57556" w:rsidRDefault="008A06E7" w:rsidP="00921CC1">
            <w:pPr>
              <w:jc w:val="both"/>
              <w:rPr>
                <w:bCs/>
              </w:rPr>
            </w:pPr>
            <w:r>
              <w:rPr>
                <w:bCs/>
              </w:rPr>
              <w:t>Whereas the introduced repealed</w:t>
            </w:r>
            <w:r w:rsidRPr="009829CE">
              <w:rPr>
                <w:bCs/>
              </w:rPr>
              <w:t xml:space="preserve"> Article 17.071(f-1), Code of Criminal Procedure</w:t>
            </w:r>
            <w:r>
              <w:rPr>
                <w:bCs/>
              </w:rPr>
              <w:t>, the substitute does not repeal this provision</w:t>
            </w:r>
            <w:r w:rsidRPr="009829CE">
              <w:rPr>
                <w:bCs/>
              </w:rPr>
              <w:t>.</w:t>
            </w:r>
          </w:p>
          <w:p w14:paraId="2064DE7D" w14:textId="77777777" w:rsidR="00F57556" w:rsidRDefault="00F57556" w:rsidP="00921CC1">
            <w:pPr>
              <w:jc w:val="both"/>
              <w:rPr>
                <w:b/>
                <w:bCs/>
                <w:u w:val="single"/>
              </w:rPr>
            </w:pPr>
          </w:p>
          <w:p w14:paraId="2A71D5ED" w14:textId="5D30B925" w:rsidR="00F57556" w:rsidRPr="00F57556" w:rsidRDefault="00F57556" w:rsidP="00921CC1">
            <w:pPr>
              <w:jc w:val="both"/>
              <w:rPr>
                <w:b/>
                <w:u w:val="single"/>
              </w:rPr>
            </w:pPr>
          </w:p>
        </w:tc>
      </w:tr>
    </w:tbl>
    <w:p w14:paraId="30B08AAC" w14:textId="77777777" w:rsidR="008423E4" w:rsidRPr="00BE0E75" w:rsidRDefault="008423E4" w:rsidP="00921CC1">
      <w:pPr>
        <w:jc w:val="both"/>
        <w:rPr>
          <w:rFonts w:ascii="Arial" w:hAnsi="Arial"/>
          <w:sz w:val="16"/>
          <w:szCs w:val="16"/>
        </w:rPr>
      </w:pPr>
    </w:p>
    <w:p w14:paraId="7FC4BC40" w14:textId="77777777" w:rsidR="004108C3" w:rsidRPr="008423E4" w:rsidRDefault="004108C3" w:rsidP="00921CC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FFC0" w14:textId="77777777" w:rsidR="008A06E7" w:rsidRDefault="008A06E7">
      <w:r>
        <w:separator/>
      </w:r>
    </w:p>
  </w:endnote>
  <w:endnote w:type="continuationSeparator" w:id="0">
    <w:p w14:paraId="7F05C0FD" w14:textId="77777777" w:rsidR="008A06E7" w:rsidRDefault="008A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749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C3E35" w14:paraId="01F1D2A3" w14:textId="77777777" w:rsidTr="009C1E9A">
      <w:trPr>
        <w:cantSplit/>
      </w:trPr>
      <w:tc>
        <w:tcPr>
          <w:tcW w:w="0" w:type="pct"/>
        </w:tcPr>
        <w:p w14:paraId="759A16C9" w14:textId="77777777" w:rsidR="00137D90" w:rsidRDefault="00137D90" w:rsidP="009C1E9A">
          <w:pPr>
            <w:pStyle w:val="Footer"/>
            <w:tabs>
              <w:tab w:val="clear" w:pos="8640"/>
              <w:tab w:val="right" w:pos="9360"/>
            </w:tabs>
          </w:pPr>
        </w:p>
      </w:tc>
      <w:tc>
        <w:tcPr>
          <w:tcW w:w="2395" w:type="pct"/>
        </w:tcPr>
        <w:p w14:paraId="33691488" w14:textId="77777777" w:rsidR="00137D90" w:rsidRDefault="00137D90" w:rsidP="009C1E9A">
          <w:pPr>
            <w:pStyle w:val="Footer"/>
            <w:tabs>
              <w:tab w:val="clear" w:pos="8640"/>
              <w:tab w:val="right" w:pos="9360"/>
            </w:tabs>
          </w:pPr>
        </w:p>
        <w:p w14:paraId="61457474" w14:textId="77777777" w:rsidR="001A4310" w:rsidRDefault="001A4310" w:rsidP="009C1E9A">
          <w:pPr>
            <w:pStyle w:val="Footer"/>
            <w:tabs>
              <w:tab w:val="clear" w:pos="8640"/>
              <w:tab w:val="right" w:pos="9360"/>
            </w:tabs>
          </w:pPr>
        </w:p>
        <w:p w14:paraId="4091782F" w14:textId="77777777" w:rsidR="00137D90" w:rsidRDefault="00137D90" w:rsidP="009C1E9A">
          <w:pPr>
            <w:pStyle w:val="Footer"/>
            <w:tabs>
              <w:tab w:val="clear" w:pos="8640"/>
              <w:tab w:val="right" w:pos="9360"/>
            </w:tabs>
          </w:pPr>
        </w:p>
      </w:tc>
      <w:tc>
        <w:tcPr>
          <w:tcW w:w="2453" w:type="pct"/>
        </w:tcPr>
        <w:p w14:paraId="27BC6816" w14:textId="77777777" w:rsidR="00137D90" w:rsidRDefault="00137D90" w:rsidP="009C1E9A">
          <w:pPr>
            <w:pStyle w:val="Footer"/>
            <w:tabs>
              <w:tab w:val="clear" w:pos="8640"/>
              <w:tab w:val="right" w:pos="9360"/>
            </w:tabs>
            <w:jc w:val="right"/>
          </w:pPr>
        </w:p>
      </w:tc>
    </w:tr>
    <w:tr w:rsidR="005C3E35" w14:paraId="480941F2" w14:textId="77777777" w:rsidTr="009C1E9A">
      <w:trPr>
        <w:cantSplit/>
      </w:trPr>
      <w:tc>
        <w:tcPr>
          <w:tcW w:w="0" w:type="pct"/>
        </w:tcPr>
        <w:p w14:paraId="352A64FF" w14:textId="77777777" w:rsidR="00EC379B" w:rsidRDefault="00EC379B" w:rsidP="009C1E9A">
          <w:pPr>
            <w:pStyle w:val="Footer"/>
            <w:tabs>
              <w:tab w:val="clear" w:pos="8640"/>
              <w:tab w:val="right" w:pos="9360"/>
            </w:tabs>
          </w:pPr>
        </w:p>
      </w:tc>
      <w:tc>
        <w:tcPr>
          <w:tcW w:w="2395" w:type="pct"/>
        </w:tcPr>
        <w:p w14:paraId="367163CE" w14:textId="25A64513" w:rsidR="00EC379B" w:rsidRPr="009C1E9A" w:rsidRDefault="008A06E7" w:rsidP="009C1E9A">
          <w:pPr>
            <w:pStyle w:val="Footer"/>
            <w:tabs>
              <w:tab w:val="clear" w:pos="8640"/>
              <w:tab w:val="right" w:pos="9360"/>
            </w:tabs>
            <w:rPr>
              <w:rFonts w:ascii="Shruti" w:hAnsi="Shruti"/>
              <w:sz w:val="22"/>
            </w:rPr>
          </w:pPr>
          <w:r>
            <w:rPr>
              <w:rFonts w:ascii="Shruti" w:hAnsi="Shruti"/>
              <w:sz w:val="22"/>
            </w:rPr>
            <w:t>89R 30660-D</w:t>
          </w:r>
        </w:p>
      </w:tc>
      <w:tc>
        <w:tcPr>
          <w:tcW w:w="2453" w:type="pct"/>
        </w:tcPr>
        <w:p w14:paraId="370EA629" w14:textId="2CCD3267" w:rsidR="00EC379B" w:rsidRDefault="008A06E7" w:rsidP="009C1E9A">
          <w:pPr>
            <w:pStyle w:val="Footer"/>
            <w:tabs>
              <w:tab w:val="clear" w:pos="8640"/>
              <w:tab w:val="right" w:pos="9360"/>
            </w:tabs>
            <w:jc w:val="right"/>
          </w:pPr>
          <w:r>
            <w:fldChar w:fldCharType="begin"/>
          </w:r>
          <w:r>
            <w:instrText xml:space="preserve"> DOCPROPERTY  OTID  \* MERGEFORMAT </w:instrText>
          </w:r>
          <w:r>
            <w:fldChar w:fldCharType="separate"/>
          </w:r>
          <w:r w:rsidR="00010A39">
            <w:t>25.132.1932</w:t>
          </w:r>
          <w:r>
            <w:fldChar w:fldCharType="end"/>
          </w:r>
        </w:p>
      </w:tc>
    </w:tr>
    <w:tr w:rsidR="005C3E35" w14:paraId="0C946C87" w14:textId="77777777" w:rsidTr="009C1E9A">
      <w:trPr>
        <w:cantSplit/>
      </w:trPr>
      <w:tc>
        <w:tcPr>
          <w:tcW w:w="0" w:type="pct"/>
        </w:tcPr>
        <w:p w14:paraId="2633AC98" w14:textId="77777777" w:rsidR="00EC379B" w:rsidRDefault="00EC379B" w:rsidP="009C1E9A">
          <w:pPr>
            <w:pStyle w:val="Footer"/>
            <w:tabs>
              <w:tab w:val="clear" w:pos="4320"/>
              <w:tab w:val="clear" w:pos="8640"/>
              <w:tab w:val="left" w:pos="2865"/>
            </w:tabs>
          </w:pPr>
        </w:p>
      </w:tc>
      <w:tc>
        <w:tcPr>
          <w:tcW w:w="2395" w:type="pct"/>
        </w:tcPr>
        <w:p w14:paraId="2771083B" w14:textId="0540E538" w:rsidR="00EC379B" w:rsidRPr="009C1E9A" w:rsidRDefault="008A06E7" w:rsidP="009C1E9A">
          <w:pPr>
            <w:pStyle w:val="Footer"/>
            <w:tabs>
              <w:tab w:val="clear" w:pos="4320"/>
              <w:tab w:val="clear" w:pos="8640"/>
              <w:tab w:val="left" w:pos="2865"/>
            </w:tabs>
            <w:rPr>
              <w:rFonts w:ascii="Shruti" w:hAnsi="Shruti"/>
              <w:sz w:val="22"/>
            </w:rPr>
          </w:pPr>
          <w:r>
            <w:rPr>
              <w:rFonts w:ascii="Shruti" w:hAnsi="Shruti"/>
              <w:sz w:val="22"/>
            </w:rPr>
            <w:t>Substitute Document Number: 89R 30426</w:t>
          </w:r>
        </w:p>
      </w:tc>
      <w:tc>
        <w:tcPr>
          <w:tcW w:w="2453" w:type="pct"/>
        </w:tcPr>
        <w:p w14:paraId="36557E13" w14:textId="77777777" w:rsidR="00EC379B" w:rsidRDefault="00EC379B" w:rsidP="006D504F">
          <w:pPr>
            <w:pStyle w:val="Footer"/>
            <w:rPr>
              <w:rStyle w:val="PageNumber"/>
            </w:rPr>
          </w:pPr>
        </w:p>
        <w:p w14:paraId="08D2730D" w14:textId="77777777" w:rsidR="00EC379B" w:rsidRDefault="00EC379B" w:rsidP="009C1E9A">
          <w:pPr>
            <w:pStyle w:val="Footer"/>
            <w:tabs>
              <w:tab w:val="clear" w:pos="8640"/>
              <w:tab w:val="right" w:pos="9360"/>
            </w:tabs>
            <w:jc w:val="right"/>
          </w:pPr>
        </w:p>
      </w:tc>
    </w:tr>
    <w:tr w:rsidR="005C3E35" w14:paraId="51BD63C5" w14:textId="77777777" w:rsidTr="009C1E9A">
      <w:trPr>
        <w:cantSplit/>
        <w:trHeight w:val="323"/>
      </w:trPr>
      <w:tc>
        <w:tcPr>
          <w:tcW w:w="0" w:type="pct"/>
          <w:gridSpan w:val="3"/>
        </w:tcPr>
        <w:p w14:paraId="3514305D" w14:textId="77777777" w:rsidR="00EC379B" w:rsidRDefault="008A06E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29037E6" w14:textId="77777777" w:rsidR="00EC379B" w:rsidRDefault="00EC379B" w:rsidP="009C1E9A">
          <w:pPr>
            <w:pStyle w:val="Footer"/>
            <w:tabs>
              <w:tab w:val="clear" w:pos="8640"/>
              <w:tab w:val="right" w:pos="9360"/>
            </w:tabs>
            <w:jc w:val="center"/>
          </w:pPr>
        </w:p>
      </w:tc>
    </w:tr>
  </w:tbl>
  <w:p w14:paraId="69A9680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655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C426" w14:textId="77777777" w:rsidR="008A06E7" w:rsidRDefault="008A06E7">
      <w:r>
        <w:separator/>
      </w:r>
    </w:p>
  </w:footnote>
  <w:footnote w:type="continuationSeparator" w:id="0">
    <w:p w14:paraId="6EB7D4D8" w14:textId="77777777" w:rsidR="008A06E7" w:rsidRDefault="008A0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842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FA2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60D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214"/>
    <w:multiLevelType w:val="hybridMultilevel"/>
    <w:tmpl w:val="DC3CA62A"/>
    <w:lvl w:ilvl="0" w:tplc="6C3E0398">
      <w:start w:val="1"/>
      <w:numFmt w:val="bullet"/>
      <w:lvlText w:val=""/>
      <w:lvlJc w:val="left"/>
      <w:pPr>
        <w:tabs>
          <w:tab w:val="num" w:pos="720"/>
        </w:tabs>
        <w:ind w:left="720" w:hanging="360"/>
      </w:pPr>
      <w:rPr>
        <w:rFonts w:ascii="Symbol" w:hAnsi="Symbol" w:hint="default"/>
      </w:rPr>
    </w:lvl>
    <w:lvl w:ilvl="1" w:tplc="30988336">
      <w:start w:val="1"/>
      <w:numFmt w:val="bullet"/>
      <w:lvlText w:val="o"/>
      <w:lvlJc w:val="left"/>
      <w:pPr>
        <w:ind w:left="1440" w:hanging="360"/>
      </w:pPr>
      <w:rPr>
        <w:rFonts w:ascii="Courier New" w:hAnsi="Courier New" w:cs="Courier New" w:hint="default"/>
      </w:rPr>
    </w:lvl>
    <w:lvl w:ilvl="2" w:tplc="14289710">
      <w:start w:val="1"/>
      <w:numFmt w:val="bullet"/>
      <w:lvlText w:val=""/>
      <w:lvlJc w:val="left"/>
      <w:pPr>
        <w:ind w:left="2160" w:hanging="360"/>
      </w:pPr>
      <w:rPr>
        <w:rFonts w:ascii="Wingdings" w:hAnsi="Wingdings" w:hint="default"/>
      </w:rPr>
    </w:lvl>
    <w:lvl w:ilvl="3" w:tplc="BE9E3FA8" w:tentative="1">
      <w:start w:val="1"/>
      <w:numFmt w:val="bullet"/>
      <w:lvlText w:val=""/>
      <w:lvlJc w:val="left"/>
      <w:pPr>
        <w:ind w:left="2880" w:hanging="360"/>
      </w:pPr>
      <w:rPr>
        <w:rFonts w:ascii="Symbol" w:hAnsi="Symbol" w:hint="default"/>
      </w:rPr>
    </w:lvl>
    <w:lvl w:ilvl="4" w:tplc="6BB2176A" w:tentative="1">
      <w:start w:val="1"/>
      <w:numFmt w:val="bullet"/>
      <w:lvlText w:val="o"/>
      <w:lvlJc w:val="left"/>
      <w:pPr>
        <w:ind w:left="3600" w:hanging="360"/>
      </w:pPr>
      <w:rPr>
        <w:rFonts w:ascii="Courier New" w:hAnsi="Courier New" w:cs="Courier New" w:hint="default"/>
      </w:rPr>
    </w:lvl>
    <w:lvl w:ilvl="5" w:tplc="B4DCFFFA" w:tentative="1">
      <w:start w:val="1"/>
      <w:numFmt w:val="bullet"/>
      <w:lvlText w:val=""/>
      <w:lvlJc w:val="left"/>
      <w:pPr>
        <w:ind w:left="4320" w:hanging="360"/>
      </w:pPr>
      <w:rPr>
        <w:rFonts w:ascii="Wingdings" w:hAnsi="Wingdings" w:hint="default"/>
      </w:rPr>
    </w:lvl>
    <w:lvl w:ilvl="6" w:tplc="A656BE78" w:tentative="1">
      <w:start w:val="1"/>
      <w:numFmt w:val="bullet"/>
      <w:lvlText w:val=""/>
      <w:lvlJc w:val="left"/>
      <w:pPr>
        <w:ind w:left="5040" w:hanging="360"/>
      </w:pPr>
      <w:rPr>
        <w:rFonts w:ascii="Symbol" w:hAnsi="Symbol" w:hint="default"/>
      </w:rPr>
    </w:lvl>
    <w:lvl w:ilvl="7" w:tplc="B7BAEB6A" w:tentative="1">
      <w:start w:val="1"/>
      <w:numFmt w:val="bullet"/>
      <w:lvlText w:val="o"/>
      <w:lvlJc w:val="left"/>
      <w:pPr>
        <w:ind w:left="5760" w:hanging="360"/>
      </w:pPr>
      <w:rPr>
        <w:rFonts w:ascii="Courier New" w:hAnsi="Courier New" w:cs="Courier New" w:hint="default"/>
      </w:rPr>
    </w:lvl>
    <w:lvl w:ilvl="8" w:tplc="DE0AC510" w:tentative="1">
      <w:start w:val="1"/>
      <w:numFmt w:val="bullet"/>
      <w:lvlText w:val=""/>
      <w:lvlJc w:val="left"/>
      <w:pPr>
        <w:ind w:left="6480" w:hanging="360"/>
      </w:pPr>
      <w:rPr>
        <w:rFonts w:ascii="Wingdings" w:hAnsi="Wingdings" w:hint="default"/>
      </w:rPr>
    </w:lvl>
  </w:abstractNum>
  <w:num w:numId="1" w16cid:durableId="12354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56"/>
    <w:rsid w:val="00000A70"/>
    <w:rsid w:val="000032B8"/>
    <w:rsid w:val="00003B06"/>
    <w:rsid w:val="000054B9"/>
    <w:rsid w:val="00007461"/>
    <w:rsid w:val="00010A39"/>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52E"/>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23F"/>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65C7"/>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265C"/>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0D87"/>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1AB8"/>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3E35"/>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44A"/>
    <w:rsid w:val="00607E64"/>
    <w:rsid w:val="006106E9"/>
    <w:rsid w:val="0061159E"/>
    <w:rsid w:val="00614633"/>
    <w:rsid w:val="00614BC8"/>
    <w:rsid w:val="00614DDD"/>
    <w:rsid w:val="006151FB"/>
    <w:rsid w:val="00617411"/>
    <w:rsid w:val="006249CB"/>
    <w:rsid w:val="006272DD"/>
    <w:rsid w:val="00630963"/>
    <w:rsid w:val="00631897"/>
    <w:rsid w:val="00632928"/>
    <w:rsid w:val="006330DA"/>
    <w:rsid w:val="00633262"/>
    <w:rsid w:val="00633460"/>
    <w:rsid w:val="006402E7"/>
    <w:rsid w:val="00640CB6"/>
    <w:rsid w:val="00641B42"/>
    <w:rsid w:val="00643C7C"/>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59EB"/>
    <w:rsid w:val="00786058"/>
    <w:rsid w:val="0079487D"/>
    <w:rsid w:val="007966D4"/>
    <w:rsid w:val="00796A0A"/>
    <w:rsid w:val="0079792C"/>
    <w:rsid w:val="007A0989"/>
    <w:rsid w:val="007A331F"/>
    <w:rsid w:val="007A3844"/>
    <w:rsid w:val="007A4381"/>
    <w:rsid w:val="007A5466"/>
    <w:rsid w:val="007A7EC1"/>
    <w:rsid w:val="007B4192"/>
    <w:rsid w:val="007B4FCA"/>
    <w:rsid w:val="007B7B85"/>
    <w:rsid w:val="007C462E"/>
    <w:rsid w:val="007C496B"/>
    <w:rsid w:val="007C6803"/>
    <w:rsid w:val="007D1EDB"/>
    <w:rsid w:val="007D2361"/>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06E7"/>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1CC1"/>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29CE"/>
    <w:rsid w:val="00983B56"/>
    <w:rsid w:val="009847FD"/>
    <w:rsid w:val="009851B3"/>
    <w:rsid w:val="00985300"/>
    <w:rsid w:val="00986720"/>
    <w:rsid w:val="00987F00"/>
    <w:rsid w:val="009937A1"/>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CB3"/>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670F"/>
    <w:rsid w:val="00AB74E2"/>
    <w:rsid w:val="00AC2E9A"/>
    <w:rsid w:val="00AC5AAB"/>
    <w:rsid w:val="00AC5AEC"/>
    <w:rsid w:val="00AC5F28"/>
    <w:rsid w:val="00AC6900"/>
    <w:rsid w:val="00AD304B"/>
    <w:rsid w:val="00AD4497"/>
    <w:rsid w:val="00AD7780"/>
    <w:rsid w:val="00AE105E"/>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3CDF"/>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54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6C7F"/>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5A22"/>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7556"/>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A7351"/>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321F3B-DF54-4D38-B4B8-4CF06EE8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57556"/>
    <w:rPr>
      <w:sz w:val="16"/>
      <w:szCs w:val="16"/>
    </w:rPr>
  </w:style>
  <w:style w:type="paragraph" w:styleId="CommentText">
    <w:name w:val="annotation text"/>
    <w:basedOn w:val="Normal"/>
    <w:link w:val="CommentTextChar"/>
    <w:unhideWhenUsed/>
    <w:rsid w:val="00F57556"/>
    <w:rPr>
      <w:sz w:val="20"/>
      <w:szCs w:val="20"/>
    </w:rPr>
  </w:style>
  <w:style w:type="character" w:customStyle="1" w:styleId="CommentTextChar">
    <w:name w:val="Comment Text Char"/>
    <w:basedOn w:val="DefaultParagraphFont"/>
    <w:link w:val="CommentText"/>
    <w:rsid w:val="00F57556"/>
  </w:style>
  <w:style w:type="character" w:styleId="Hyperlink">
    <w:name w:val="Hyperlink"/>
    <w:basedOn w:val="DefaultParagraphFont"/>
    <w:unhideWhenUsed/>
    <w:rsid w:val="00F57556"/>
    <w:rPr>
      <w:color w:val="0000FF" w:themeColor="hyperlink"/>
      <w:u w:val="single"/>
    </w:rPr>
  </w:style>
  <w:style w:type="paragraph" w:styleId="Revision">
    <w:name w:val="Revision"/>
    <w:hidden/>
    <w:uiPriority w:val="99"/>
    <w:semiHidden/>
    <w:rsid w:val="00AE105E"/>
    <w:rPr>
      <w:sz w:val="24"/>
      <w:szCs w:val="24"/>
    </w:rPr>
  </w:style>
  <w:style w:type="paragraph" w:styleId="CommentSubject">
    <w:name w:val="annotation subject"/>
    <w:basedOn w:val="CommentText"/>
    <w:next w:val="CommentText"/>
    <w:link w:val="CommentSubjectChar"/>
    <w:semiHidden/>
    <w:unhideWhenUsed/>
    <w:rsid w:val="00AE105E"/>
    <w:rPr>
      <w:b/>
      <w:bCs/>
    </w:rPr>
  </w:style>
  <w:style w:type="character" w:customStyle="1" w:styleId="CommentSubjectChar">
    <w:name w:val="Comment Subject Char"/>
    <w:basedOn w:val="CommentTextChar"/>
    <w:link w:val="CommentSubject"/>
    <w:semiHidden/>
    <w:rsid w:val="00AE105E"/>
    <w:rPr>
      <w:b/>
      <w:bCs/>
    </w:rPr>
  </w:style>
  <w:style w:type="character" w:customStyle="1" w:styleId="UnresolvedMention1">
    <w:name w:val="Unresolved Mention1"/>
    <w:basedOn w:val="DefaultParagraphFont"/>
    <w:uiPriority w:val="99"/>
    <w:semiHidden/>
    <w:unhideWhenUsed/>
    <w:rsid w:val="00AE1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5617</Characters>
  <Application>Microsoft Office Word</Application>
  <DocSecurity>0</DocSecurity>
  <Lines>125</Lines>
  <Paragraphs>41</Paragraphs>
  <ScaleCrop>false</ScaleCrop>
  <HeadingPairs>
    <vt:vector size="2" baseType="variant">
      <vt:variant>
        <vt:lpstr>Title</vt:lpstr>
      </vt:variant>
      <vt:variant>
        <vt:i4>1</vt:i4>
      </vt:variant>
    </vt:vector>
  </HeadingPairs>
  <TitlesOfParts>
    <vt:vector size="1" baseType="lpstr">
      <vt:lpstr>BA - HB00075 (Committee Report (Substituted))</vt:lpstr>
    </vt:vector>
  </TitlesOfParts>
  <Company>State of Texas</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30660</dc:subject>
  <dc:creator>State of Texas</dc:creator>
  <dc:description>HB 75 by Smithee-(H)Criminal Jurisprudence (Substitute Document Number: 89R 30426)</dc:description>
  <cp:lastModifiedBy>Stacey Nicchio</cp:lastModifiedBy>
  <cp:revision>2</cp:revision>
  <cp:lastPrinted>2003-11-26T17:21:00Z</cp:lastPrinted>
  <dcterms:created xsi:type="dcterms:W3CDTF">2025-05-13T16:32:00Z</dcterms:created>
  <dcterms:modified xsi:type="dcterms:W3CDTF">2025-05-13T16:32:00Z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25.132.1932</vt:lpwstr>
  </property>
</Properties>
</file>