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04EAA" w14:paraId="65D0F731" w14:textId="77777777" w:rsidTr="00345119">
        <w:tc>
          <w:tcPr>
            <w:tcW w:w="9576" w:type="dxa"/>
            <w:noWrap/>
          </w:tcPr>
          <w:p w14:paraId="53224C2B" w14:textId="77777777" w:rsidR="008423E4" w:rsidRPr="0022177D" w:rsidRDefault="0076304A" w:rsidP="003109CF">
            <w:pPr>
              <w:pStyle w:val="Heading1"/>
            </w:pPr>
            <w:r w:rsidRPr="00631897">
              <w:t>BILL ANALYSIS</w:t>
            </w:r>
          </w:p>
        </w:tc>
      </w:tr>
    </w:tbl>
    <w:p w14:paraId="1CA81062" w14:textId="77777777" w:rsidR="008423E4" w:rsidRPr="0022177D" w:rsidRDefault="008423E4" w:rsidP="003109CF">
      <w:pPr>
        <w:jc w:val="center"/>
      </w:pPr>
    </w:p>
    <w:p w14:paraId="7689438F" w14:textId="77777777" w:rsidR="008423E4" w:rsidRPr="00B31F0E" w:rsidRDefault="008423E4" w:rsidP="003109CF"/>
    <w:p w14:paraId="0AF1BB7D" w14:textId="77777777" w:rsidR="008423E4" w:rsidRPr="00742794" w:rsidRDefault="008423E4" w:rsidP="003109CF">
      <w:pPr>
        <w:tabs>
          <w:tab w:val="right" w:pos="9360"/>
        </w:tabs>
      </w:pPr>
    </w:p>
    <w:tbl>
      <w:tblPr>
        <w:tblW w:w="0" w:type="auto"/>
        <w:tblLayout w:type="fixed"/>
        <w:tblLook w:val="01E0" w:firstRow="1" w:lastRow="1" w:firstColumn="1" w:lastColumn="1" w:noHBand="0" w:noVBand="0"/>
      </w:tblPr>
      <w:tblGrid>
        <w:gridCol w:w="9576"/>
      </w:tblGrid>
      <w:tr w:rsidR="00A04EAA" w14:paraId="35D98757" w14:textId="77777777" w:rsidTr="00345119">
        <w:tc>
          <w:tcPr>
            <w:tcW w:w="9576" w:type="dxa"/>
          </w:tcPr>
          <w:p w14:paraId="76B26BAB" w14:textId="480E6DE9" w:rsidR="008423E4" w:rsidRPr="00861995" w:rsidRDefault="0076304A" w:rsidP="003109CF">
            <w:pPr>
              <w:jc w:val="right"/>
            </w:pPr>
            <w:r>
              <w:t>H.B. 229</w:t>
            </w:r>
          </w:p>
        </w:tc>
      </w:tr>
      <w:tr w:rsidR="00A04EAA" w14:paraId="65FACE15" w14:textId="77777777" w:rsidTr="00345119">
        <w:tc>
          <w:tcPr>
            <w:tcW w:w="9576" w:type="dxa"/>
          </w:tcPr>
          <w:p w14:paraId="7529F722" w14:textId="6C9B523E" w:rsidR="008423E4" w:rsidRPr="00861995" w:rsidRDefault="0076304A" w:rsidP="003109CF">
            <w:pPr>
              <w:jc w:val="right"/>
            </w:pPr>
            <w:r>
              <w:t xml:space="preserve">By: </w:t>
            </w:r>
            <w:r w:rsidR="009C5747">
              <w:t>Troxclair</w:t>
            </w:r>
          </w:p>
        </w:tc>
      </w:tr>
      <w:tr w:rsidR="00A04EAA" w14:paraId="40D80B17" w14:textId="77777777" w:rsidTr="00345119">
        <w:tc>
          <w:tcPr>
            <w:tcW w:w="9576" w:type="dxa"/>
          </w:tcPr>
          <w:p w14:paraId="61C0E9D9" w14:textId="1DAF031F" w:rsidR="008423E4" w:rsidRPr="00861995" w:rsidRDefault="0076304A" w:rsidP="003109CF">
            <w:pPr>
              <w:jc w:val="right"/>
            </w:pPr>
            <w:r>
              <w:t>State Affairs</w:t>
            </w:r>
          </w:p>
        </w:tc>
      </w:tr>
      <w:tr w:rsidR="00A04EAA" w14:paraId="78B45E18" w14:textId="77777777" w:rsidTr="00345119">
        <w:tc>
          <w:tcPr>
            <w:tcW w:w="9576" w:type="dxa"/>
          </w:tcPr>
          <w:p w14:paraId="3B2E425B" w14:textId="5E1773A2" w:rsidR="008423E4" w:rsidRDefault="0076304A" w:rsidP="003109CF">
            <w:pPr>
              <w:jc w:val="right"/>
            </w:pPr>
            <w:r>
              <w:t>Committee Report (Unamended)</w:t>
            </w:r>
          </w:p>
        </w:tc>
      </w:tr>
    </w:tbl>
    <w:p w14:paraId="3A8AB209" w14:textId="77777777" w:rsidR="008423E4" w:rsidRDefault="008423E4" w:rsidP="003109CF">
      <w:pPr>
        <w:tabs>
          <w:tab w:val="right" w:pos="9360"/>
        </w:tabs>
      </w:pPr>
    </w:p>
    <w:p w14:paraId="75DCCBB9" w14:textId="77777777" w:rsidR="008423E4" w:rsidRDefault="008423E4" w:rsidP="003109CF"/>
    <w:p w14:paraId="32806AD9" w14:textId="77777777" w:rsidR="008423E4" w:rsidRDefault="008423E4" w:rsidP="003109CF"/>
    <w:tbl>
      <w:tblPr>
        <w:tblW w:w="0" w:type="auto"/>
        <w:tblCellMar>
          <w:left w:w="115" w:type="dxa"/>
          <w:right w:w="115" w:type="dxa"/>
        </w:tblCellMar>
        <w:tblLook w:val="01E0" w:firstRow="1" w:lastRow="1" w:firstColumn="1" w:lastColumn="1" w:noHBand="0" w:noVBand="0"/>
      </w:tblPr>
      <w:tblGrid>
        <w:gridCol w:w="9360"/>
      </w:tblGrid>
      <w:tr w:rsidR="00A04EAA" w14:paraId="540AEAE2" w14:textId="77777777" w:rsidTr="00345119">
        <w:tc>
          <w:tcPr>
            <w:tcW w:w="9576" w:type="dxa"/>
          </w:tcPr>
          <w:p w14:paraId="038FDD61" w14:textId="77777777" w:rsidR="008423E4" w:rsidRPr="00A8133F" w:rsidRDefault="0076304A" w:rsidP="003109CF">
            <w:pPr>
              <w:rPr>
                <w:b/>
              </w:rPr>
            </w:pPr>
            <w:r w:rsidRPr="009C1E9A">
              <w:rPr>
                <w:b/>
                <w:u w:val="single"/>
              </w:rPr>
              <w:t>BACKGROUND AND PURPOSE</w:t>
            </w:r>
            <w:r>
              <w:rPr>
                <w:b/>
              </w:rPr>
              <w:t xml:space="preserve"> </w:t>
            </w:r>
          </w:p>
          <w:p w14:paraId="412C7DD9" w14:textId="77777777" w:rsidR="008423E4" w:rsidRDefault="008423E4" w:rsidP="003109CF"/>
          <w:p w14:paraId="06589EB1" w14:textId="735E66C1" w:rsidR="009C5747" w:rsidRDefault="0076304A" w:rsidP="003109CF">
            <w:pPr>
              <w:pStyle w:val="Header"/>
              <w:tabs>
                <w:tab w:val="clear" w:pos="4320"/>
                <w:tab w:val="clear" w:pos="8640"/>
              </w:tabs>
              <w:jc w:val="both"/>
            </w:pPr>
            <w:r>
              <w:t>The bill author has informed the committee that</w:t>
            </w:r>
            <w:r w:rsidRPr="009C5747">
              <w:t xml:space="preserve"> attack</w:t>
            </w:r>
            <w:r>
              <w:t>s</w:t>
            </w:r>
            <w:r w:rsidRPr="009C5747">
              <w:t xml:space="preserve"> on </w:t>
            </w:r>
            <w:r>
              <w:t>the</w:t>
            </w:r>
            <w:r w:rsidRPr="009C5747">
              <w:t xml:space="preserve"> biological identit</w:t>
            </w:r>
            <w:r>
              <w:t>ies of women</w:t>
            </w:r>
            <w:r w:rsidRPr="009C5747">
              <w:t xml:space="preserve"> </w:t>
            </w:r>
            <w:r>
              <w:t>occur throughout</w:t>
            </w:r>
            <w:r w:rsidRPr="009C5747">
              <w:t xml:space="preserve"> everyday life</w:t>
            </w:r>
            <w:r>
              <w:t xml:space="preserve">, </w:t>
            </w:r>
            <w:r>
              <w:t>including</w:t>
            </w:r>
            <w:r w:rsidRPr="009C5747">
              <w:t xml:space="preserve"> </w:t>
            </w:r>
            <w:r>
              <w:t>through the breach of</w:t>
            </w:r>
            <w:r w:rsidRPr="009C5747">
              <w:t xml:space="preserve"> single-sex spaces like bathrooms, sports teams, prisons, and schools under the guise of </w:t>
            </w:r>
            <w:r w:rsidR="00C30668">
              <w:t>what is called</w:t>
            </w:r>
            <w:r w:rsidRPr="009C5747">
              <w:t xml:space="preserve"> equality</w:t>
            </w:r>
            <w:r w:rsidR="00C30668">
              <w:t>.</w:t>
            </w:r>
            <w:r w:rsidRPr="009C5747">
              <w:t xml:space="preserve"> Th</w:t>
            </w:r>
            <w:r>
              <w:t>e bill author has further informed the committee that th</w:t>
            </w:r>
            <w:r w:rsidRPr="009C5747">
              <w:t xml:space="preserve">is </w:t>
            </w:r>
            <w:r>
              <w:t>can</w:t>
            </w:r>
            <w:r w:rsidRPr="009C5747">
              <w:t xml:space="preserve"> put </w:t>
            </w:r>
            <w:r w:rsidR="00755F62" w:rsidRPr="009C5747">
              <w:t>wom</w:t>
            </w:r>
            <w:r w:rsidR="00755F62">
              <w:t>e</w:t>
            </w:r>
            <w:r w:rsidR="00755F62" w:rsidRPr="009C5747">
              <w:t xml:space="preserve">n </w:t>
            </w:r>
            <w:r w:rsidRPr="009C5747">
              <w:t xml:space="preserve">at risk, as it allows biological men to enter spaces meant exclusively for </w:t>
            </w:r>
            <w:r w:rsidR="00755F62" w:rsidRPr="009C5747">
              <w:t>wom</w:t>
            </w:r>
            <w:r w:rsidR="00755F62">
              <w:t>e</w:t>
            </w:r>
            <w:r w:rsidR="00755F62" w:rsidRPr="009C5747">
              <w:t>n</w:t>
            </w:r>
            <w:r w:rsidR="00F170A3">
              <w:t>,</w:t>
            </w:r>
            <w:r w:rsidRPr="009C5747">
              <w:t xml:space="preserve"> eroding </w:t>
            </w:r>
            <w:r w:rsidR="00755F62" w:rsidRPr="009C5747">
              <w:t>wom</w:t>
            </w:r>
            <w:r w:rsidR="00755F62">
              <w:t>e</w:t>
            </w:r>
            <w:r w:rsidR="00755F62" w:rsidRPr="009C5747">
              <w:t xml:space="preserve">n's </w:t>
            </w:r>
            <w:r w:rsidRPr="009C5747">
              <w:t xml:space="preserve">safety and privacy in places they are meant to </w:t>
            </w:r>
            <w:r w:rsidR="00F170A3">
              <w:t>feel</w:t>
            </w:r>
            <w:r w:rsidRPr="009C5747">
              <w:t xml:space="preserve"> </w:t>
            </w:r>
            <w:r w:rsidR="00F170A3">
              <w:t>secur</w:t>
            </w:r>
            <w:r w:rsidR="00F170A3" w:rsidRPr="009C5747">
              <w:t>e</w:t>
            </w:r>
            <w:r w:rsidRPr="009C5747">
              <w:t xml:space="preserve">. </w:t>
            </w:r>
            <w:r w:rsidR="00F170A3">
              <w:t xml:space="preserve">H.B. 229 </w:t>
            </w:r>
            <w:r w:rsidR="00483646">
              <w:t>addresses these issues by</w:t>
            </w:r>
            <w:r w:rsidR="00F170A3">
              <w:t xml:space="preserve"> amend</w:t>
            </w:r>
            <w:r w:rsidR="00483646">
              <w:t>ing</w:t>
            </w:r>
            <w:r w:rsidR="00F170A3">
              <w:t xml:space="preserve"> the Code Construction Act to define </w:t>
            </w:r>
            <w:r w:rsidR="00D9308B">
              <w:t xml:space="preserve">the </w:t>
            </w:r>
            <w:r w:rsidR="00F170A3">
              <w:t xml:space="preserve">terms </w:t>
            </w:r>
            <w:r w:rsidR="00D9308B">
              <w:t>"boy," "father," "female," "woman," "girl,"</w:t>
            </w:r>
            <w:r w:rsidR="00F170A3">
              <w:t xml:space="preserve"> "male</w:t>
            </w:r>
            <w:r w:rsidR="00C30668">
              <w:t>,</w:t>
            </w:r>
            <w:r w:rsidR="00F170A3">
              <w:t xml:space="preserve">" </w:t>
            </w:r>
            <w:r w:rsidR="00D9308B">
              <w:t xml:space="preserve">"man," "mother," </w:t>
            </w:r>
            <w:r w:rsidR="00F170A3">
              <w:t>and "sex</w:t>
            </w:r>
            <w:r w:rsidR="00D9308B">
              <w:t>.</w:t>
            </w:r>
            <w:r w:rsidR="00F170A3">
              <w:t>"</w:t>
            </w:r>
            <w:r w:rsidR="00D9308B">
              <w:t xml:space="preserve"> H.B. 229 also amends the Government Code </w:t>
            </w:r>
            <w:r w:rsidR="00100C5D">
              <w:t xml:space="preserve">to </w:t>
            </w:r>
            <w:r w:rsidR="00483646">
              <w:t>requir</w:t>
            </w:r>
            <w:r w:rsidR="00100C5D">
              <w:t>e</w:t>
            </w:r>
            <w:r w:rsidR="00F170A3">
              <w:t xml:space="preserve"> governmental entit</w:t>
            </w:r>
            <w:r w:rsidR="00483646">
              <w:t>ies</w:t>
            </w:r>
            <w:r w:rsidR="00F170A3">
              <w:t xml:space="preserve"> that collect vital statistics information </w:t>
            </w:r>
            <w:r w:rsidR="00D9308B" w:rsidRPr="00D9308B">
              <w:t xml:space="preserve">that identifies the sex of an individual for the purpose of complying with antidiscrimination laws or for the purpose of gathering public health, crime, economic, or other data </w:t>
            </w:r>
            <w:r w:rsidR="00F170A3">
              <w:t>to identify each individual as either male or female.</w:t>
            </w:r>
            <w:r w:rsidR="00D9308B">
              <w:t xml:space="preserve"> The bill author has informed the committee that t</w:t>
            </w:r>
            <w:r w:rsidR="00483646">
              <w:t xml:space="preserve">he bill takes these actions to </w:t>
            </w:r>
            <w:r w:rsidRPr="009C5747">
              <w:t xml:space="preserve">defend women's legal rights </w:t>
            </w:r>
            <w:r w:rsidR="00483646">
              <w:t>through accurate</w:t>
            </w:r>
            <w:r w:rsidRPr="009C5747">
              <w:t xml:space="preserve"> representation in</w:t>
            </w:r>
            <w:r w:rsidR="00483646">
              <w:t xml:space="preserve"> both state statute and </w:t>
            </w:r>
            <w:r w:rsidRPr="009C5747">
              <w:t>data collection</w:t>
            </w:r>
            <w:r w:rsidR="00483646">
              <w:t xml:space="preserve"> practices.</w:t>
            </w:r>
          </w:p>
          <w:p w14:paraId="7C293609" w14:textId="77777777" w:rsidR="008423E4" w:rsidRPr="00E26B13" w:rsidRDefault="008423E4" w:rsidP="003109CF">
            <w:pPr>
              <w:rPr>
                <w:b/>
              </w:rPr>
            </w:pPr>
          </w:p>
        </w:tc>
      </w:tr>
      <w:tr w:rsidR="00A04EAA" w14:paraId="2A02DB1D" w14:textId="77777777" w:rsidTr="00345119">
        <w:tc>
          <w:tcPr>
            <w:tcW w:w="9576" w:type="dxa"/>
          </w:tcPr>
          <w:p w14:paraId="41E1C46E" w14:textId="77777777" w:rsidR="0017725B" w:rsidRDefault="0076304A" w:rsidP="003109CF">
            <w:pPr>
              <w:rPr>
                <w:b/>
                <w:u w:val="single"/>
              </w:rPr>
            </w:pPr>
            <w:r>
              <w:rPr>
                <w:b/>
                <w:u w:val="single"/>
              </w:rPr>
              <w:t>CRIMINAL JUSTICE IMPACT</w:t>
            </w:r>
          </w:p>
          <w:p w14:paraId="0D39921F" w14:textId="77777777" w:rsidR="0017725B" w:rsidRDefault="0017725B" w:rsidP="003109CF">
            <w:pPr>
              <w:rPr>
                <w:b/>
                <w:u w:val="single"/>
              </w:rPr>
            </w:pPr>
          </w:p>
          <w:p w14:paraId="151F22A0" w14:textId="668005CD" w:rsidR="00DF4454" w:rsidRPr="00DF4454" w:rsidRDefault="0076304A" w:rsidP="003109C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43901B2" w14:textId="77777777" w:rsidR="0017725B" w:rsidRPr="0017725B" w:rsidRDefault="0017725B" w:rsidP="003109CF">
            <w:pPr>
              <w:rPr>
                <w:b/>
                <w:u w:val="single"/>
              </w:rPr>
            </w:pPr>
          </w:p>
        </w:tc>
      </w:tr>
      <w:tr w:rsidR="00A04EAA" w14:paraId="170C09E9" w14:textId="77777777" w:rsidTr="00345119">
        <w:tc>
          <w:tcPr>
            <w:tcW w:w="9576" w:type="dxa"/>
          </w:tcPr>
          <w:p w14:paraId="4A9CAC05" w14:textId="77777777" w:rsidR="008423E4" w:rsidRPr="00A8133F" w:rsidRDefault="0076304A" w:rsidP="003109CF">
            <w:pPr>
              <w:rPr>
                <w:b/>
              </w:rPr>
            </w:pPr>
            <w:r w:rsidRPr="009C1E9A">
              <w:rPr>
                <w:b/>
                <w:u w:val="single"/>
              </w:rPr>
              <w:t>RULEMAKING AUTHORITY</w:t>
            </w:r>
            <w:r>
              <w:rPr>
                <w:b/>
              </w:rPr>
              <w:t xml:space="preserve"> </w:t>
            </w:r>
          </w:p>
          <w:p w14:paraId="77801667" w14:textId="77777777" w:rsidR="008423E4" w:rsidRDefault="008423E4" w:rsidP="003109CF"/>
          <w:p w14:paraId="6C344631" w14:textId="2C75C734" w:rsidR="00DF4454" w:rsidRDefault="0076304A" w:rsidP="003109C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87AB8AF" w14:textId="77777777" w:rsidR="008423E4" w:rsidRPr="00E21FDC" w:rsidRDefault="008423E4" w:rsidP="003109CF">
            <w:pPr>
              <w:rPr>
                <w:b/>
              </w:rPr>
            </w:pPr>
          </w:p>
        </w:tc>
      </w:tr>
      <w:tr w:rsidR="00A04EAA" w14:paraId="0828CBCD" w14:textId="77777777" w:rsidTr="00345119">
        <w:tc>
          <w:tcPr>
            <w:tcW w:w="9576" w:type="dxa"/>
          </w:tcPr>
          <w:p w14:paraId="43E4FEB2" w14:textId="77777777" w:rsidR="008423E4" w:rsidRPr="00A8133F" w:rsidRDefault="0076304A" w:rsidP="003109CF">
            <w:pPr>
              <w:rPr>
                <w:b/>
              </w:rPr>
            </w:pPr>
            <w:r w:rsidRPr="009C1E9A">
              <w:rPr>
                <w:b/>
                <w:u w:val="single"/>
              </w:rPr>
              <w:t>ANALYSIS</w:t>
            </w:r>
            <w:r>
              <w:rPr>
                <w:b/>
              </w:rPr>
              <w:t xml:space="preserve"> </w:t>
            </w:r>
          </w:p>
          <w:p w14:paraId="430BBE57" w14:textId="77777777" w:rsidR="008423E4" w:rsidRDefault="008423E4" w:rsidP="003109CF"/>
          <w:p w14:paraId="2F2CA914" w14:textId="656C0160" w:rsidR="001E0DDF" w:rsidRDefault="0076304A" w:rsidP="003109CF">
            <w:pPr>
              <w:pStyle w:val="Header"/>
              <w:tabs>
                <w:tab w:val="clear" w:pos="4320"/>
                <w:tab w:val="clear" w:pos="8640"/>
              </w:tabs>
              <w:jc w:val="both"/>
            </w:pPr>
            <w:r>
              <w:t xml:space="preserve">H.B. 229 </w:t>
            </w:r>
            <w:r w:rsidR="004B7E3C">
              <w:t xml:space="preserve">establishes </w:t>
            </w:r>
            <w:r w:rsidR="00793AEA">
              <w:t xml:space="preserve">the following </w:t>
            </w:r>
            <w:r>
              <w:t>legisla</w:t>
            </w:r>
            <w:r w:rsidR="00793AEA">
              <w:t>tive findings</w:t>
            </w:r>
            <w:r>
              <w:t>:</w:t>
            </w:r>
          </w:p>
          <w:p w14:paraId="63C76483" w14:textId="31CAA821" w:rsidR="001E0DDF" w:rsidRDefault="0076304A" w:rsidP="003109CF">
            <w:pPr>
              <w:pStyle w:val="Header"/>
              <w:numPr>
                <w:ilvl w:val="0"/>
                <w:numId w:val="1"/>
              </w:numPr>
              <w:jc w:val="both"/>
            </w:pPr>
            <w:r>
              <w:t xml:space="preserve">males and females possess unique immutable biological differences that manifest prior to birth and increase as individuals age and </w:t>
            </w:r>
            <w:r>
              <w:t>experience puberty;</w:t>
            </w:r>
          </w:p>
          <w:p w14:paraId="684C30D2" w14:textId="0A855541" w:rsidR="001E0DDF" w:rsidRDefault="0076304A" w:rsidP="003109CF">
            <w:pPr>
              <w:pStyle w:val="Header"/>
              <w:numPr>
                <w:ilvl w:val="0"/>
                <w:numId w:val="1"/>
              </w:numPr>
              <w:jc w:val="both"/>
            </w:pPr>
            <w:r>
              <w:t>biological differences</w:t>
            </w:r>
            <w:r w:rsidR="00056A36">
              <w:t xml:space="preserve"> </w:t>
            </w:r>
            <w:r w:rsidR="004B7E3C">
              <w:t>between the sexes mean that only females are able to get pregnant, give birth, and breastfeed children and that males are, on average, bigger, stronger, and faster than females;</w:t>
            </w:r>
            <w:r w:rsidR="001D7974">
              <w:t xml:space="preserve"> </w:t>
            </w:r>
          </w:p>
          <w:p w14:paraId="07367D00" w14:textId="4AD2A8A2" w:rsidR="001E0DDF" w:rsidRDefault="0076304A" w:rsidP="003109CF">
            <w:pPr>
              <w:pStyle w:val="Header"/>
              <w:numPr>
                <w:ilvl w:val="0"/>
                <w:numId w:val="1"/>
              </w:numPr>
              <w:jc w:val="both"/>
            </w:pPr>
            <w:r>
              <w:t>biological differences between the sexes leave females more physically vulnerable than males to specific forms of violence, including sexual violence;</w:t>
            </w:r>
          </w:p>
          <w:p w14:paraId="79F773A0" w14:textId="1C7BB738" w:rsidR="001E0DDF" w:rsidRDefault="0076304A" w:rsidP="003109CF">
            <w:pPr>
              <w:pStyle w:val="Header"/>
              <w:numPr>
                <w:ilvl w:val="0"/>
                <w:numId w:val="1"/>
              </w:numPr>
              <w:jc w:val="both"/>
            </w:pPr>
            <w:r>
              <w:t>females have historically suffered discrimination in education, athletics, and employment;</w:t>
            </w:r>
          </w:p>
          <w:p w14:paraId="334D96DA" w14:textId="5130960A" w:rsidR="001E0DDF" w:rsidRDefault="0076304A" w:rsidP="003109CF">
            <w:pPr>
              <w:pStyle w:val="Header"/>
              <w:numPr>
                <w:ilvl w:val="0"/>
                <w:numId w:val="1"/>
              </w:numPr>
              <w:jc w:val="both"/>
            </w:pPr>
            <w:r>
              <w:t>biological differences between the sexes are enduring and may, in some circumstances, warrant the creation of separate social, educational, athletic, or other spaces in order to ensure individuals' safety and allow members of each sex to succeed and thrive;</w:t>
            </w:r>
          </w:p>
          <w:p w14:paraId="34B9708E" w14:textId="495014C1" w:rsidR="001E0DDF" w:rsidRDefault="0076304A" w:rsidP="003109CF">
            <w:pPr>
              <w:pStyle w:val="Header"/>
              <w:numPr>
                <w:ilvl w:val="0"/>
                <w:numId w:val="1"/>
              </w:numPr>
              <w:jc w:val="both"/>
            </w:pPr>
            <w:r>
              <w:t>inconsistencies in court rulings and policy initiatives with regard to the definitions of "sex," "male," "female," "man," and "woman" have led to endangerment of single-sex spaces and resources, necessitating clarification of certain terms;</w:t>
            </w:r>
          </w:p>
          <w:p w14:paraId="54A9DFD5" w14:textId="3EE90FD0" w:rsidR="001E0DDF" w:rsidRDefault="0076304A" w:rsidP="003109CF">
            <w:pPr>
              <w:pStyle w:val="Header"/>
              <w:numPr>
                <w:ilvl w:val="0"/>
                <w:numId w:val="1"/>
              </w:numPr>
              <w:jc w:val="both"/>
            </w:pPr>
            <w:r>
              <w:t>in the context of biological sex, "equal" does not mean "same" or "identical" and separate is not inherently unequal;</w:t>
            </w:r>
          </w:p>
          <w:p w14:paraId="65AAC638" w14:textId="4F304523" w:rsidR="001E0DDF" w:rsidRDefault="0076304A" w:rsidP="003109CF">
            <w:pPr>
              <w:pStyle w:val="Header"/>
              <w:numPr>
                <w:ilvl w:val="0"/>
                <w:numId w:val="1"/>
              </w:numPr>
              <w:jc w:val="both"/>
            </w:pPr>
            <w:r>
              <w:t>there are legitimate reasons to distinguish between the sexes with respect to athletics, prisons and other correctional facilities, domestic violence shelters, rape crisis centers, locker rooms, restrooms, and other areas where biology, safety, or privacy are implicated; and</w:t>
            </w:r>
          </w:p>
          <w:p w14:paraId="193AABD4" w14:textId="07F8497E" w:rsidR="001E0DDF" w:rsidRDefault="0076304A" w:rsidP="003109CF">
            <w:pPr>
              <w:pStyle w:val="Header"/>
              <w:numPr>
                <w:ilvl w:val="0"/>
                <w:numId w:val="1"/>
              </w:numPr>
              <w:tabs>
                <w:tab w:val="clear" w:pos="4320"/>
                <w:tab w:val="clear" w:pos="8640"/>
              </w:tabs>
              <w:jc w:val="both"/>
            </w:pPr>
            <w:r>
              <w:t>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w:t>
            </w:r>
          </w:p>
          <w:p w14:paraId="299CF0F2" w14:textId="77777777" w:rsidR="001E0DDF" w:rsidRDefault="001E0DDF" w:rsidP="003109CF">
            <w:pPr>
              <w:pStyle w:val="Header"/>
              <w:tabs>
                <w:tab w:val="clear" w:pos="4320"/>
                <w:tab w:val="clear" w:pos="8640"/>
              </w:tabs>
              <w:jc w:val="both"/>
            </w:pPr>
          </w:p>
          <w:p w14:paraId="5B3CCA63" w14:textId="731822E5" w:rsidR="001E0DDF" w:rsidRDefault="0076304A" w:rsidP="003109CF">
            <w:pPr>
              <w:pStyle w:val="Header"/>
              <w:tabs>
                <w:tab w:val="clear" w:pos="4320"/>
                <w:tab w:val="clear" w:pos="8640"/>
              </w:tabs>
              <w:jc w:val="both"/>
            </w:pPr>
            <w:r>
              <w:t xml:space="preserve">H.B. 229 amends the Government Code to define the following terms </w:t>
            </w:r>
            <w:r w:rsidR="007B4157">
              <w:t>under</w:t>
            </w:r>
            <w:r>
              <w:t xml:space="preserve"> the </w:t>
            </w:r>
            <w:r w:rsidRPr="001E0DDF">
              <w:t>Code Construction Act</w:t>
            </w:r>
            <w:r w:rsidR="007B4157">
              <w:t xml:space="preserve"> </w:t>
            </w:r>
            <w:r w:rsidR="007B4157">
              <w:rPr>
                <w:bCs/>
              </w:rPr>
              <w:t>for the purpose of the application of the definitions, unless the statute or context in which the word or phrase is used requires a different definition</w:t>
            </w:r>
            <w:r>
              <w:t xml:space="preserve">: </w:t>
            </w:r>
          </w:p>
          <w:p w14:paraId="6AF9B09C" w14:textId="38DCE4B4" w:rsidR="001E0DDF" w:rsidRDefault="0076304A" w:rsidP="003109CF">
            <w:pPr>
              <w:pStyle w:val="Header"/>
              <w:numPr>
                <w:ilvl w:val="0"/>
                <w:numId w:val="3"/>
              </w:numPr>
              <w:jc w:val="both"/>
            </w:pPr>
            <w:r>
              <w:t>"</w:t>
            </w:r>
            <w:r w:rsidR="00DF4454">
              <w:t>b</w:t>
            </w:r>
            <w:r>
              <w:t>oy" means a child of the male sex;</w:t>
            </w:r>
          </w:p>
          <w:p w14:paraId="003C2EBF" w14:textId="44E2422D" w:rsidR="001E0DDF" w:rsidRDefault="0076304A" w:rsidP="003109CF">
            <w:pPr>
              <w:pStyle w:val="Header"/>
              <w:numPr>
                <w:ilvl w:val="0"/>
                <w:numId w:val="3"/>
              </w:numPr>
              <w:jc w:val="both"/>
            </w:pPr>
            <w:r>
              <w:t>"</w:t>
            </w:r>
            <w:r w:rsidR="00DF4454">
              <w:t>f</w:t>
            </w:r>
            <w:r>
              <w:t>ather" means a parent of the male sex;</w:t>
            </w:r>
          </w:p>
          <w:p w14:paraId="0BE8E892" w14:textId="5AFD3F00" w:rsidR="001E0DDF" w:rsidRDefault="0076304A" w:rsidP="003109CF">
            <w:pPr>
              <w:pStyle w:val="Header"/>
              <w:numPr>
                <w:ilvl w:val="0"/>
                <w:numId w:val="3"/>
              </w:numPr>
              <w:jc w:val="both"/>
            </w:pPr>
            <w:r>
              <w:t>"</w:t>
            </w:r>
            <w:r w:rsidR="00DF4454">
              <w:t>f</w:t>
            </w:r>
            <w:r>
              <w:t>emale" and "woman" mean an individual whose biological reproductive system is developed to produce ova;</w:t>
            </w:r>
          </w:p>
          <w:p w14:paraId="01243F38" w14:textId="2D43496A" w:rsidR="001E0DDF" w:rsidRDefault="0076304A" w:rsidP="003109CF">
            <w:pPr>
              <w:pStyle w:val="Header"/>
              <w:numPr>
                <w:ilvl w:val="0"/>
                <w:numId w:val="3"/>
              </w:numPr>
              <w:jc w:val="both"/>
            </w:pPr>
            <w:r>
              <w:t>"</w:t>
            </w:r>
            <w:r w:rsidR="00DF4454">
              <w:t>g</w:t>
            </w:r>
            <w:r>
              <w:t>irl" means a child of the female sex;</w:t>
            </w:r>
          </w:p>
          <w:p w14:paraId="3CB3C1E6" w14:textId="63154891" w:rsidR="001E0DDF" w:rsidRDefault="0076304A" w:rsidP="003109CF">
            <w:pPr>
              <w:pStyle w:val="Header"/>
              <w:numPr>
                <w:ilvl w:val="0"/>
                <w:numId w:val="3"/>
              </w:numPr>
              <w:jc w:val="both"/>
            </w:pPr>
            <w:r>
              <w:t>"</w:t>
            </w:r>
            <w:r w:rsidR="00DF4454">
              <w:t>m</w:t>
            </w:r>
            <w:r>
              <w:t>ale" and "man" mean an individual whose biological reproductive system is developed to fertilize the ova of a female;</w:t>
            </w:r>
          </w:p>
          <w:p w14:paraId="5FD22046" w14:textId="5590E294" w:rsidR="001E0DDF" w:rsidRDefault="0076304A" w:rsidP="003109CF">
            <w:pPr>
              <w:pStyle w:val="Header"/>
              <w:numPr>
                <w:ilvl w:val="0"/>
                <w:numId w:val="3"/>
              </w:numPr>
              <w:jc w:val="both"/>
            </w:pPr>
            <w:r>
              <w:t>"</w:t>
            </w:r>
            <w:r w:rsidR="00DF4454">
              <w:t>m</w:t>
            </w:r>
            <w:r>
              <w:t>other" means a parent of the female sex; and</w:t>
            </w:r>
          </w:p>
          <w:p w14:paraId="341B9D4B" w14:textId="6CCDF120" w:rsidR="001E0DDF" w:rsidRDefault="0076304A" w:rsidP="003109CF">
            <w:pPr>
              <w:pStyle w:val="Header"/>
              <w:numPr>
                <w:ilvl w:val="0"/>
                <w:numId w:val="3"/>
              </w:numPr>
              <w:tabs>
                <w:tab w:val="clear" w:pos="4320"/>
                <w:tab w:val="clear" w:pos="8640"/>
              </w:tabs>
              <w:jc w:val="both"/>
            </w:pPr>
            <w:r>
              <w:t>"</w:t>
            </w:r>
            <w:r w:rsidR="00DF4454">
              <w:t>s</w:t>
            </w:r>
            <w:r>
              <w:t>ex" means an individual's biological sex, either male or female.</w:t>
            </w:r>
          </w:p>
          <w:p w14:paraId="14C23D32" w14:textId="77777777" w:rsidR="000A345B" w:rsidRDefault="000A345B" w:rsidP="003109CF">
            <w:pPr>
              <w:pStyle w:val="Header"/>
              <w:tabs>
                <w:tab w:val="clear" w:pos="4320"/>
                <w:tab w:val="clear" w:pos="8640"/>
              </w:tabs>
              <w:jc w:val="both"/>
            </w:pPr>
          </w:p>
          <w:p w14:paraId="1C481A4A" w14:textId="77777777" w:rsidR="008423E4" w:rsidRDefault="0076304A" w:rsidP="003109CF">
            <w:pPr>
              <w:pStyle w:val="Header"/>
              <w:jc w:val="both"/>
            </w:pPr>
            <w:r>
              <w:t>H.B. 229 requires a</w:t>
            </w:r>
            <w:r w:rsidRPr="000A345B">
              <w:t xml:space="preserve"> governmental entity that collects </w:t>
            </w:r>
            <w:r w:rsidRPr="000A345B">
              <w:t xml:space="preserve">vital statistics information that identifies the sex of an individual for the purpose of complying with antidiscrimination laws or for the purpose of gathering public health, crime, economic, or other data </w:t>
            </w:r>
            <w:r>
              <w:t>to</w:t>
            </w:r>
            <w:r w:rsidRPr="000A345B">
              <w:t xml:space="preserve"> identify each individual as either male or female.</w:t>
            </w:r>
            <w:r>
              <w:t xml:space="preserve"> </w:t>
            </w:r>
            <w:r w:rsidR="0001096C">
              <w:t xml:space="preserve">The bill defines "governmental entity" for this purpose by reference as </w:t>
            </w:r>
            <w:r w:rsidR="0001096C" w:rsidRPr="0001096C">
              <w:t>an institution, board, commission, or department of the state</w:t>
            </w:r>
            <w:r w:rsidR="0073381B">
              <w:t>, a subdivision of the state,</w:t>
            </w:r>
            <w:r w:rsidR="0001096C" w:rsidRPr="0001096C">
              <w:t xml:space="preserve"> or a political subdivision of the state, including a municipality, a county, or any kind of district</w:t>
            </w:r>
            <w:r w:rsidR="0001096C">
              <w:t>.</w:t>
            </w:r>
          </w:p>
          <w:p w14:paraId="5F562DD2" w14:textId="64F7D344" w:rsidR="007F565C" w:rsidRPr="00835628" w:rsidRDefault="007F565C" w:rsidP="003109CF">
            <w:pPr>
              <w:pStyle w:val="Header"/>
              <w:jc w:val="both"/>
              <w:rPr>
                <w:b/>
              </w:rPr>
            </w:pPr>
          </w:p>
        </w:tc>
      </w:tr>
      <w:tr w:rsidR="00A04EAA" w14:paraId="484691D7" w14:textId="77777777" w:rsidTr="00345119">
        <w:tc>
          <w:tcPr>
            <w:tcW w:w="9576" w:type="dxa"/>
          </w:tcPr>
          <w:p w14:paraId="201F2A47" w14:textId="77777777" w:rsidR="008423E4" w:rsidRPr="00A8133F" w:rsidRDefault="0076304A" w:rsidP="003109CF">
            <w:pPr>
              <w:rPr>
                <w:b/>
              </w:rPr>
            </w:pPr>
            <w:r w:rsidRPr="009C1E9A">
              <w:rPr>
                <w:b/>
                <w:u w:val="single"/>
              </w:rPr>
              <w:t>EFFECTIVE DATE</w:t>
            </w:r>
            <w:r>
              <w:rPr>
                <w:b/>
              </w:rPr>
              <w:t xml:space="preserve"> </w:t>
            </w:r>
          </w:p>
          <w:p w14:paraId="66A59F1C" w14:textId="77777777" w:rsidR="008423E4" w:rsidRDefault="008423E4" w:rsidP="003109CF"/>
          <w:p w14:paraId="7AD5F3A6" w14:textId="6C7A2729" w:rsidR="008423E4" w:rsidRPr="003624F2" w:rsidRDefault="0076304A" w:rsidP="003109CF">
            <w:pPr>
              <w:pStyle w:val="Header"/>
              <w:tabs>
                <w:tab w:val="clear" w:pos="4320"/>
                <w:tab w:val="clear" w:pos="8640"/>
              </w:tabs>
              <w:jc w:val="both"/>
            </w:pPr>
            <w:r>
              <w:t>September 1, 2025.</w:t>
            </w:r>
          </w:p>
          <w:p w14:paraId="7CF11885" w14:textId="77777777" w:rsidR="008423E4" w:rsidRPr="00233FDB" w:rsidRDefault="008423E4" w:rsidP="003109CF">
            <w:pPr>
              <w:rPr>
                <w:b/>
              </w:rPr>
            </w:pPr>
          </w:p>
        </w:tc>
      </w:tr>
    </w:tbl>
    <w:p w14:paraId="5655B1C2" w14:textId="77777777" w:rsidR="008423E4" w:rsidRPr="00BE0E75" w:rsidRDefault="008423E4" w:rsidP="003109CF">
      <w:pPr>
        <w:jc w:val="both"/>
        <w:rPr>
          <w:rFonts w:ascii="Arial" w:hAnsi="Arial"/>
          <w:sz w:val="16"/>
          <w:szCs w:val="16"/>
        </w:rPr>
      </w:pPr>
    </w:p>
    <w:p w14:paraId="30913259" w14:textId="77777777" w:rsidR="004108C3" w:rsidRPr="008423E4" w:rsidRDefault="004108C3" w:rsidP="003109C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C870" w14:textId="77777777" w:rsidR="0076304A" w:rsidRDefault="0076304A">
      <w:r>
        <w:separator/>
      </w:r>
    </w:p>
  </w:endnote>
  <w:endnote w:type="continuationSeparator" w:id="0">
    <w:p w14:paraId="1A9BCF5A" w14:textId="77777777" w:rsidR="0076304A" w:rsidRDefault="0076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60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04EAA" w14:paraId="4BD3B599" w14:textId="77777777" w:rsidTr="009C1E9A">
      <w:trPr>
        <w:cantSplit/>
      </w:trPr>
      <w:tc>
        <w:tcPr>
          <w:tcW w:w="0" w:type="pct"/>
        </w:tcPr>
        <w:p w14:paraId="2BE0DBD3" w14:textId="77777777" w:rsidR="00137D90" w:rsidRDefault="00137D90" w:rsidP="009C1E9A">
          <w:pPr>
            <w:pStyle w:val="Footer"/>
            <w:tabs>
              <w:tab w:val="clear" w:pos="8640"/>
              <w:tab w:val="right" w:pos="9360"/>
            </w:tabs>
          </w:pPr>
        </w:p>
      </w:tc>
      <w:tc>
        <w:tcPr>
          <w:tcW w:w="2395" w:type="pct"/>
        </w:tcPr>
        <w:p w14:paraId="6C5E08C3" w14:textId="77777777" w:rsidR="00137D90" w:rsidRDefault="00137D90" w:rsidP="009C1E9A">
          <w:pPr>
            <w:pStyle w:val="Footer"/>
            <w:tabs>
              <w:tab w:val="clear" w:pos="8640"/>
              <w:tab w:val="right" w:pos="9360"/>
            </w:tabs>
          </w:pPr>
        </w:p>
        <w:p w14:paraId="6E831C3F" w14:textId="77777777" w:rsidR="001A4310" w:rsidRDefault="001A4310" w:rsidP="009C1E9A">
          <w:pPr>
            <w:pStyle w:val="Footer"/>
            <w:tabs>
              <w:tab w:val="clear" w:pos="8640"/>
              <w:tab w:val="right" w:pos="9360"/>
            </w:tabs>
          </w:pPr>
        </w:p>
        <w:p w14:paraId="36DF7D05" w14:textId="77777777" w:rsidR="00137D90" w:rsidRDefault="00137D90" w:rsidP="009C1E9A">
          <w:pPr>
            <w:pStyle w:val="Footer"/>
            <w:tabs>
              <w:tab w:val="clear" w:pos="8640"/>
              <w:tab w:val="right" w:pos="9360"/>
            </w:tabs>
          </w:pPr>
        </w:p>
      </w:tc>
      <w:tc>
        <w:tcPr>
          <w:tcW w:w="2453" w:type="pct"/>
        </w:tcPr>
        <w:p w14:paraId="36CC0474" w14:textId="77777777" w:rsidR="00137D90" w:rsidRDefault="00137D90" w:rsidP="009C1E9A">
          <w:pPr>
            <w:pStyle w:val="Footer"/>
            <w:tabs>
              <w:tab w:val="clear" w:pos="8640"/>
              <w:tab w:val="right" w:pos="9360"/>
            </w:tabs>
            <w:jc w:val="right"/>
          </w:pPr>
        </w:p>
      </w:tc>
    </w:tr>
    <w:tr w:rsidR="00A04EAA" w14:paraId="29F4104B" w14:textId="77777777" w:rsidTr="009C1E9A">
      <w:trPr>
        <w:cantSplit/>
      </w:trPr>
      <w:tc>
        <w:tcPr>
          <w:tcW w:w="0" w:type="pct"/>
        </w:tcPr>
        <w:p w14:paraId="13EA9829" w14:textId="77777777" w:rsidR="00EC379B" w:rsidRDefault="00EC379B" w:rsidP="009C1E9A">
          <w:pPr>
            <w:pStyle w:val="Footer"/>
            <w:tabs>
              <w:tab w:val="clear" w:pos="8640"/>
              <w:tab w:val="right" w:pos="9360"/>
            </w:tabs>
          </w:pPr>
        </w:p>
      </w:tc>
      <w:tc>
        <w:tcPr>
          <w:tcW w:w="2395" w:type="pct"/>
        </w:tcPr>
        <w:p w14:paraId="29DC0DC0" w14:textId="042FE116" w:rsidR="00EC379B" w:rsidRPr="009C1E9A" w:rsidRDefault="0076304A" w:rsidP="009C1E9A">
          <w:pPr>
            <w:pStyle w:val="Footer"/>
            <w:tabs>
              <w:tab w:val="clear" w:pos="8640"/>
              <w:tab w:val="right" w:pos="9360"/>
            </w:tabs>
            <w:rPr>
              <w:rFonts w:ascii="Shruti" w:hAnsi="Shruti"/>
              <w:sz w:val="22"/>
            </w:rPr>
          </w:pPr>
          <w:r>
            <w:rPr>
              <w:rFonts w:ascii="Shruti" w:hAnsi="Shruti"/>
              <w:sz w:val="22"/>
            </w:rPr>
            <w:t>89R 27502-D</w:t>
          </w:r>
        </w:p>
      </w:tc>
      <w:tc>
        <w:tcPr>
          <w:tcW w:w="2453" w:type="pct"/>
        </w:tcPr>
        <w:p w14:paraId="7A0842B5" w14:textId="0798DFF2" w:rsidR="00EC379B" w:rsidRDefault="0076304A" w:rsidP="009C1E9A">
          <w:pPr>
            <w:pStyle w:val="Footer"/>
            <w:tabs>
              <w:tab w:val="clear" w:pos="8640"/>
              <w:tab w:val="right" w:pos="9360"/>
            </w:tabs>
            <w:jc w:val="right"/>
          </w:pPr>
          <w:r>
            <w:fldChar w:fldCharType="begin"/>
          </w:r>
          <w:r>
            <w:instrText xml:space="preserve"> DOCPROPERTY  OTID  \* MERGEFORMAT </w:instrText>
          </w:r>
          <w:r>
            <w:fldChar w:fldCharType="separate"/>
          </w:r>
          <w:r w:rsidR="00AC4642">
            <w:t>25.121.493</w:t>
          </w:r>
          <w:r>
            <w:fldChar w:fldCharType="end"/>
          </w:r>
        </w:p>
      </w:tc>
    </w:tr>
    <w:tr w:rsidR="00A04EAA" w14:paraId="62A7E0A0" w14:textId="77777777" w:rsidTr="009C1E9A">
      <w:trPr>
        <w:cantSplit/>
      </w:trPr>
      <w:tc>
        <w:tcPr>
          <w:tcW w:w="0" w:type="pct"/>
        </w:tcPr>
        <w:p w14:paraId="1321CE83" w14:textId="77777777" w:rsidR="00EC379B" w:rsidRDefault="00EC379B" w:rsidP="009C1E9A">
          <w:pPr>
            <w:pStyle w:val="Footer"/>
            <w:tabs>
              <w:tab w:val="clear" w:pos="4320"/>
              <w:tab w:val="clear" w:pos="8640"/>
              <w:tab w:val="left" w:pos="2865"/>
            </w:tabs>
          </w:pPr>
        </w:p>
      </w:tc>
      <w:tc>
        <w:tcPr>
          <w:tcW w:w="2395" w:type="pct"/>
        </w:tcPr>
        <w:p w14:paraId="12FC331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0408F02" w14:textId="77777777" w:rsidR="00EC379B" w:rsidRDefault="00EC379B" w:rsidP="006D504F">
          <w:pPr>
            <w:pStyle w:val="Footer"/>
            <w:rPr>
              <w:rStyle w:val="PageNumber"/>
            </w:rPr>
          </w:pPr>
        </w:p>
        <w:p w14:paraId="77BB2C85" w14:textId="77777777" w:rsidR="00EC379B" w:rsidRDefault="00EC379B" w:rsidP="009C1E9A">
          <w:pPr>
            <w:pStyle w:val="Footer"/>
            <w:tabs>
              <w:tab w:val="clear" w:pos="8640"/>
              <w:tab w:val="right" w:pos="9360"/>
            </w:tabs>
            <w:jc w:val="right"/>
          </w:pPr>
        </w:p>
      </w:tc>
    </w:tr>
    <w:tr w:rsidR="00A04EAA" w14:paraId="3538C753" w14:textId="77777777" w:rsidTr="009C1E9A">
      <w:trPr>
        <w:cantSplit/>
        <w:trHeight w:val="323"/>
      </w:trPr>
      <w:tc>
        <w:tcPr>
          <w:tcW w:w="0" w:type="pct"/>
          <w:gridSpan w:val="3"/>
        </w:tcPr>
        <w:p w14:paraId="5D615322" w14:textId="77777777" w:rsidR="00EC379B" w:rsidRDefault="007630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BF2699" w14:textId="77777777" w:rsidR="00EC379B" w:rsidRDefault="00EC379B" w:rsidP="009C1E9A">
          <w:pPr>
            <w:pStyle w:val="Footer"/>
            <w:tabs>
              <w:tab w:val="clear" w:pos="8640"/>
              <w:tab w:val="right" w:pos="9360"/>
            </w:tabs>
            <w:jc w:val="center"/>
          </w:pPr>
        </w:p>
      </w:tc>
    </w:tr>
  </w:tbl>
  <w:p w14:paraId="5E438B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10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22C3" w14:textId="77777777" w:rsidR="0076304A" w:rsidRDefault="0076304A">
      <w:r>
        <w:separator/>
      </w:r>
    </w:p>
  </w:footnote>
  <w:footnote w:type="continuationSeparator" w:id="0">
    <w:p w14:paraId="1E493F89" w14:textId="77777777" w:rsidR="0076304A" w:rsidRDefault="0076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1AC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22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7A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E9F"/>
    <w:multiLevelType w:val="hybridMultilevel"/>
    <w:tmpl w:val="401CE7E0"/>
    <w:lvl w:ilvl="0" w:tplc="CD0A9F1A">
      <w:start w:val="1"/>
      <w:numFmt w:val="bullet"/>
      <w:lvlText w:val=""/>
      <w:lvlJc w:val="left"/>
      <w:pPr>
        <w:tabs>
          <w:tab w:val="num" w:pos="720"/>
        </w:tabs>
        <w:ind w:left="720" w:hanging="360"/>
      </w:pPr>
      <w:rPr>
        <w:rFonts w:ascii="Symbol" w:hAnsi="Symbol" w:hint="default"/>
      </w:rPr>
    </w:lvl>
    <w:lvl w:ilvl="1" w:tplc="3852194E" w:tentative="1">
      <w:start w:val="1"/>
      <w:numFmt w:val="bullet"/>
      <w:lvlText w:val="o"/>
      <w:lvlJc w:val="left"/>
      <w:pPr>
        <w:ind w:left="1440" w:hanging="360"/>
      </w:pPr>
      <w:rPr>
        <w:rFonts w:ascii="Courier New" w:hAnsi="Courier New" w:cs="Courier New" w:hint="default"/>
      </w:rPr>
    </w:lvl>
    <w:lvl w:ilvl="2" w:tplc="29C85202" w:tentative="1">
      <w:start w:val="1"/>
      <w:numFmt w:val="bullet"/>
      <w:lvlText w:val=""/>
      <w:lvlJc w:val="left"/>
      <w:pPr>
        <w:ind w:left="2160" w:hanging="360"/>
      </w:pPr>
      <w:rPr>
        <w:rFonts w:ascii="Wingdings" w:hAnsi="Wingdings" w:hint="default"/>
      </w:rPr>
    </w:lvl>
    <w:lvl w:ilvl="3" w:tplc="AB6E4472" w:tentative="1">
      <w:start w:val="1"/>
      <w:numFmt w:val="bullet"/>
      <w:lvlText w:val=""/>
      <w:lvlJc w:val="left"/>
      <w:pPr>
        <w:ind w:left="2880" w:hanging="360"/>
      </w:pPr>
      <w:rPr>
        <w:rFonts w:ascii="Symbol" w:hAnsi="Symbol" w:hint="default"/>
      </w:rPr>
    </w:lvl>
    <w:lvl w:ilvl="4" w:tplc="17AEBEBA" w:tentative="1">
      <w:start w:val="1"/>
      <w:numFmt w:val="bullet"/>
      <w:lvlText w:val="o"/>
      <w:lvlJc w:val="left"/>
      <w:pPr>
        <w:ind w:left="3600" w:hanging="360"/>
      </w:pPr>
      <w:rPr>
        <w:rFonts w:ascii="Courier New" w:hAnsi="Courier New" w:cs="Courier New" w:hint="default"/>
      </w:rPr>
    </w:lvl>
    <w:lvl w:ilvl="5" w:tplc="997CCECC" w:tentative="1">
      <w:start w:val="1"/>
      <w:numFmt w:val="bullet"/>
      <w:lvlText w:val=""/>
      <w:lvlJc w:val="left"/>
      <w:pPr>
        <w:ind w:left="4320" w:hanging="360"/>
      </w:pPr>
      <w:rPr>
        <w:rFonts w:ascii="Wingdings" w:hAnsi="Wingdings" w:hint="default"/>
      </w:rPr>
    </w:lvl>
    <w:lvl w:ilvl="6" w:tplc="16AADE4C" w:tentative="1">
      <w:start w:val="1"/>
      <w:numFmt w:val="bullet"/>
      <w:lvlText w:val=""/>
      <w:lvlJc w:val="left"/>
      <w:pPr>
        <w:ind w:left="5040" w:hanging="360"/>
      </w:pPr>
      <w:rPr>
        <w:rFonts w:ascii="Symbol" w:hAnsi="Symbol" w:hint="default"/>
      </w:rPr>
    </w:lvl>
    <w:lvl w:ilvl="7" w:tplc="C624E2C2" w:tentative="1">
      <w:start w:val="1"/>
      <w:numFmt w:val="bullet"/>
      <w:lvlText w:val="o"/>
      <w:lvlJc w:val="left"/>
      <w:pPr>
        <w:ind w:left="5760" w:hanging="360"/>
      </w:pPr>
      <w:rPr>
        <w:rFonts w:ascii="Courier New" w:hAnsi="Courier New" w:cs="Courier New" w:hint="default"/>
      </w:rPr>
    </w:lvl>
    <w:lvl w:ilvl="8" w:tplc="EA7423DC" w:tentative="1">
      <w:start w:val="1"/>
      <w:numFmt w:val="bullet"/>
      <w:lvlText w:val=""/>
      <w:lvlJc w:val="left"/>
      <w:pPr>
        <w:ind w:left="6480" w:hanging="360"/>
      </w:pPr>
      <w:rPr>
        <w:rFonts w:ascii="Wingdings" w:hAnsi="Wingdings" w:hint="default"/>
      </w:rPr>
    </w:lvl>
  </w:abstractNum>
  <w:abstractNum w:abstractNumId="1" w15:restartNumberingAfterBreak="0">
    <w:nsid w:val="25A6025B"/>
    <w:multiLevelType w:val="hybridMultilevel"/>
    <w:tmpl w:val="FE581E54"/>
    <w:lvl w:ilvl="0" w:tplc="60DAE4E6">
      <w:start w:val="1"/>
      <w:numFmt w:val="bullet"/>
      <w:lvlText w:val=""/>
      <w:lvlJc w:val="left"/>
      <w:pPr>
        <w:tabs>
          <w:tab w:val="num" w:pos="720"/>
        </w:tabs>
        <w:ind w:left="720" w:hanging="360"/>
      </w:pPr>
      <w:rPr>
        <w:rFonts w:ascii="Symbol" w:hAnsi="Symbol" w:hint="default"/>
      </w:rPr>
    </w:lvl>
    <w:lvl w:ilvl="1" w:tplc="F0161CF4">
      <w:start w:val="1"/>
      <w:numFmt w:val="bullet"/>
      <w:lvlText w:val="o"/>
      <w:lvlJc w:val="left"/>
      <w:pPr>
        <w:ind w:left="1440" w:hanging="360"/>
      </w:pPr>
      <w:rPr>
        <w:rFonts w:ascii="Courier New" w:hAnsi="Courier New" w:cs="Courier New" w:hint="default"/>
      </w:rPr>
    </w:lvl>
    <w:lvl w:ilvl="2" w:tplc="40A45250" w:tentative="1">
      <w:start w:val="1"/>
      <w:numFmt w:val="bullet"/>
      <w:lvlText w:val=""/>
      <w:lvlJc w:val="left"/>
      <w:pPr>
        <w:ind w:left="2160" w:hanging="360"/>
      </w:pPr>
      <w:rPr>
        <w:rFonts w:ascii="Wingdings" w:hAnsi="Wingdings" w:hint="default"/>
      </w:rPr>
    </w:lvl>
    <w:lvl w:ilvl="3" w:tplc="3CCE2BF2" w:tentative="1">
      <w:start w:val="1"/>
      <w:numFmt w:val="bullet"/>
      <w:lvlText w:val=""/>
      <w:lvlJc w:val="left"/>
      <w:pPr>
        <w:ind w:left="2880" w:hanging="360"/>
      </w:pPr>
      <w:rPr>
        <w:rFonts w:ascii="Symbol" w:hAnsi="Symbol" w:hint="default"/>
      </w:rPr>
    </w:lvl>
    <w:lvl w:ilvl="4" w:tplc="3CE45EC6" w:tentative="1">
      <w:start w:val="1"/>
      <w:numFmt w:val="bullet"/>
      <w:lvlText w:val="o"/>
      <w:lvlJc w:val="left"/>
      <w:pPr>
        <w:ind w:left="3600" w:hanging="360"/>
      </w:pPr>
      <w:rPr>
        <w:rFonts w:ascii="Courier New" w:hAnsi="Courier New" w:cs="Courier New" w:hint="default"/>
      </w:rPr>
    </w:lvl>
    <w:lvl w:ilvl="5" w:tplc="52865E94" w:tentative="1">
      <w:start w:val="1"/>
      <w:numFmt w:val="bullet"/>
      <w:lvlText w:val=""/>
      <w:lvlJc w:val="left"/>
      <w:pPr>
        <w:ind w:left="4320" w:hanging="360"/>
      </w:pPr>
      <w:rPr>
        <w:rFonts w:ascii="Wingdings" w:hAnsi="Wingdings" w:hint="default"/>
      </w:rPr>
    </w:lvl>
    <w:lvl w:ilvl="6" w:tplc="B6EC22CC" w:tentative="1">
      <w:start w:val="1"/>
      <w:numFmt w:val="bullet"/>
      <w:lvlText w:val=""/>
      <w:lvlJc w:val="left"/>
      <w:pPr>
        <w:ind w:left="5040" w:hanging="360"/>
      </w:pPr>
      <w:rPr>
        <w:rFonts w:ascii="Symbol" w:hAnsi="Symbol" w:hint="default"/>
      </w:rPr>
    </w:lvl>
    <w:lvl w:ilvl="7" w:tplc="6F70A4F8" w:tentative="1">
      <w:start w:val="1"/>
      <w:numFmt w:val="bullet"/>
      <w:lvlText w:val="o"/>
      <w:lvlJc w:val="left"/>
      <w:pPr>
        <w:ind w:left="5760" w:hanging="360"/>
      </w:pPr>
      <w:rPr>
        <w:rFonts w:ascii="Courier New" w:hAnsi="Courier New" w:cs="Courier New" w:hint="default"/>
      </w:rPr>
    </w:lvl>
    <w:lvl w:ilvl="8" w:tplc="2FE011F4" w:tentative="1">
      <w:start w:val="1"/>
      <w:numFmt w:val="bullet"/>
      <w:lvlText w:val=""/>
      <w:lvlJc w:val="left"/>
      <w:pPr>
        <w:ind w:left="6480" w:hanging="360"/>
      </w:pPr>
      <w:rPr>
        <w:rFonts w:ascii="Wingdings" w:hAnsi="Wingdings" w:hint="default"/>
      </w:rPr>
    </w:lvl>
  </w:abstractNum>
  <w:abstractNum w:abstractNumId="2" w15:restartNumberingAfterBreak="0">
    <w:nsid w:val="7D0C7DD7"/>
    <w:multiLevelType w:val="hybridMultilevel"/>
    <w:tmpl w:val="56487C48"/>
    <w:lvl w:ilvl="0" w:tplc="850CB89A">
      <w:start w:val="1"/>
      <w:numFmt w:val="decimal"/>
      <w:lvlText w:val="(%1)"/>
      <w:lvlJc w:val="left"/>
      <w:pPr>
        <w:ind w:left="795" w:hanging="435"/>
      </w:pPr>
      <w:rPr>
        <w:rFonts w:hint="default"/>
      </w:rPr>
    </w:lvl>
    <w:lvl w:ilvl="1" w:tplc="99FE3F6E">
      <w:start w:val="1"/>
      <w:numFmt w:val="upperLetter"/>
      <w:lvlText w:val="(%2)"/>
      <w:lvlJc w:val="left"/>
      <w:pPr>
        <w:ind w:left="1530" w:hanging="450"/>
      </w:pPr>
      <w:rPr>
        <w:rFonts w:hint="default"/>
      </w:rPr>
    </w:lvl>
    <w:lvl w:ilvl="2" w:tplc="B434AF0A" w:tentative="1">
      <w:start w:val="1"/>
      <w:numFmt w:val="lowerRoman"/>
      <w:lvlText w:val="%3."/>
      <w:lvlJc w:val="right"/>
      <w:pPr>
        <w:ind w:left="2160" w:hanging="180"/>
      </w:pPr>
    </w:lvl>
    <w:lvl w:ilvl="3" w:tplc="9F66A63C" w:tentative="1">
      <w:start w:val="1"/>
      <w:numFmt w:val="decimal"/>
      <w:lvlText w:val="%4."/>
      <w:lvlJc w:val="left"/>
      <w:pPr>
        <w:ind w:left="2880" w:hanging="360"/>
      </w:pPr>
    </w:lvl>
    <w:lvl w:ilvl="4" w:tplc="002259D0" w:tentative="1">
      <w:start w:val="1"/>
      <w:numFmt w:val="lowerLetter"/>
      <w:lvlText w:val="%5."/>
      <w:lvlJc w:val="left"/>
      <w:pPr>
        <w:ind w:left="3600" w:hanging="360"/>
      </w:pPr>
    </w:lvl>
    <w:lvl w:ilvl="5" w:tplc="14A20FB8" w:tentative="1">
      <w:start w:val="1"/>
      <w:numFmt w:val="lowerRoman"/>
      <w:lvlText w:val="%6."/>
      <w:lvlJc w:val="right"/>
      <w:pPr>
        <w:ind w:left="4320" w:hanging="180"/>
      </w:pPr>
    </w:lvl>
    <w:lvl w:ilvl="6" w:tplc="7EE21388" w:tentative="1">
      <w:start w:val="1"/>
      <w:numFmt w:val="decimal"/>
      <w:lvlText w:val="%7."/>
      <w:lvlJc w:val="left"/>
      <w:pPr>
        <w:ind w:left="5040" w:hanging="360"/>
      </w:pPr>
    </w:lvl>
    <w:lvl w:ilvl="7" w:tplc="9154B024" w:tentative="1">
      <w:start w:val="1"/>
      <w:numFmt w:val="lowerLetter"/>
      <w:lvlText w:val="%8."/>
      <w:lvlJc w:val="left"/>
      <w:pPr>
        <w:ind w:left="5760" w:hanging="360"/>
      </w:pPr>
    </w:lvl>
    <w:lvl w:ilvl="8" w:tplc="FB741342" w:tentative="1">
      <w:start w:val="1"/>
      <w:numFmt w:val="lowerRoman"/>
      <w:lvlText w:val="%9."/>
      <w:lvlJc w:val="right"/>
      <w:pPr>
        <w:ind w:left="6480" w:hanging="180"/>
      </w:pPr>
    </w:lvl>
  </w:abstractNum>
  <w:num w:numId="1" w16cid:durableId="1816800825">
    <w:abstractNumId w:val="1"/>
  </w:num>
  <w:num w:numId="2" w16cid:durableId="1586498792">
    <w:abstractNumId w:val="2"/>
  </w:num>
  <w:num w:numId="3" w16cid:durableId="51230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F"/>
    <w:rsid w:val="00000A70"/>
    <w:rsid w:val="000032B8"/>
    <w:rsid w:val="00003B06"/>
    <w:rsid w:val="000054B9"/>
    <w:rsid w:val="00007461"/>
    <w:rsid w:val="0001096C"/>
    <w:rsid w:val="0001117E"/>
    <w:rsid w:val="0001125F"/>
    <w:rsid w:val="0001338E"/>
    <w:rsid w:val="00013D24"/>
    <w:rsid w:val="00014AF0"/>
    <w:rsid w:val="000155D6"/>
    <w:rsid w:val="00015D4E"/>
    <w:rsid w:val="00017179"/>
    <w:rsid w:val="000176BF"/>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A36"/>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45B"/>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BDB"/>
    <w:rsid w:val="000E5B20"/>
    <w:rsid w:val="000E7C14"/>
    <w:rsid w:val="000F094C"/>
    <w:rsid w:val="000F1392"/>
    <w:rsid w:val="000F18A2"/>
    <w:rsid w:val="000F2A7F"/>
    <w:rsid w:val="000F3DBD"/>
    <w:rsid w:val="000F5843"/>
    <w:rsid w:val="000F6A06"/>
    <w:rsid w:val="00100C5D"/>
    <w:rsid w:val="0010154D"/>
    <w:rsid w:val="00102D3F"/>
    <w:rsid w:val="00102EC7"/>
    <w:rsid w:val="0010347D"/>
    <w:rsid w:val="00110F8C"/>
    <w:rsid w:val="0011274A"/>
    <w:rsid w:val="00113522"/>
    <w:rsid w:val="0011378D"/>
    <w:rsid w:val="001138CD"/>
    <w:rsid w:val="00115CB3"/>
    <w:rsid w:val="00115EE9"/>
    <w:rsid w:val="001169F9"/>
    <w:rsid w:val="00120797"/>
    <w:rsid w:val="001218D2"/>
    <w:rsid w:val="0012371B"/>
    <w:rsid w:val="001245C8"/>
    <w:rsid w:val="00124653"/>
    <w:rsid w:val="001247C5"/>
    <w:rsid w:val="00127893"/>
    <w:rsid w:val="001312BB"/>
    <w:rsid w:val="00137D90"/>
    <w:rsid w:val="00140BFE"/>
    <w:rsid w:val="00141FB6"/>
    <w:rsid w:val="00142F8E"/>
    <w:rsid w:val="00143C8B"/>
    <w:rsid w:val="00147530"/>
    <w:rsid w:val="00147FF6"/>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573"/>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974"/>
    <w:rsid w:val="001E0DDF"/>
    <w:rsid w:val="001E2CAD"/>
    <w:rsid w:val="001E34DB"/>
    <w:rsid w:val="001E37CD"/>
    <w:rsid w:val="001E4070"/>
    <w:rsid w:val="001E655E"/>
    <w:rsid w:val="001F11C6"/>
    <w:rsid w:val="001F2BB4"/>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BC4"/>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511"/>
    <w:rsid w:val="002B7BA7"/>
    <w:rsid w:val="002C1C17"/>
    <w:rsid w:val="002C3203"/>
    <w:rsid w:val="002C3B07"/>
    <w:rsid w:val="002C532B"/>
    <w:rsid w:val="002C5713"/>
    <w:rsid w:val="002D05CC"/>
    <w:rsid w:val="002D305A"/>
    <w:rsid w:val="002D4125"/>
    <w:rsid w:val="002E21B8"/>
    <w:rsid w:val="002E7DF9"/>
    <w:rsid w:val="002F097B"/>
    <w:rsid w:val="002F2147"/>
    <w:rsid w:val="002F3111"/>
    <w:rsid w:val="002F4AEC"/>
    <w:rsid w:val="002F795D"/>
    <w:rsid w:val="00300823"/>
    <w:rsid w:val="00300D7F"/>
    <w:rsid w:val="00301638"/>
    <w:rsid w:val="00303B0C"/>
    <w:rsid w:val="003044A2"/>
    <w:rsid w:val="0030459C"/>
    <w:rsid w:val="003109C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A51"/>
    <w:rsid w:val="00370155"/>
    <w:rsid w:val="003712D5"/>
    <w:rsid w:val="003747DF"/>
    <w:rsid w:val="003761B7"/>
    <w:rsid w:val="00377E3D"/>
    <w:rsid w:val="00383F82"/>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916"/>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553"/>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A69"/>
    <w:rsid w:val="00474927"/>
    <w:rsid w:val="00475913"/>
    <w:rsid w:val="00480080"/>
    <w:rsid w:val="004824A7"/>
    <w:rsid w:val="00483646"/>
    <w:rsid w:val="00483AF0"/>
    <w:rsid w:val="00484167"/>
    <w:rsid w:val="00492211"/>
    <w:rsid w:val="00492325"/>
    <w:rsid w:val="00492A6D"/>
    <w:rsid w:val="00494303"/>
    <w:rsid w:val="0049682B"/>
    <w:rsid w:val="00497525"/>
    <w:rsid w:val="004977A3"/>
    <w:rsid w:val="004A03F7"/>
    <w:rsid w:val="004A081C"/>
    <w:rsid w:val="004A0E70"/>
    <w:rsid w:val="004A123F"/>
    <w:rsid w:val="004A2172"/>
    <w:rsid w:val="004A239F"/>
    <w:rsid w:val="004B138F"/>
    <w:rsid w:val="004B412A"/>
    <w:rsid w:val="004B576C"/>
    <w:rsid w:val="004B772A"/>
    <w:rsid w:val="004B7E3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32F"/>
    <w:rsid w:val="00573401"/>
    <w:rsid w:val="00576714"/>
    <w:rsid w:val="0057685A"/>
    <w:rsid w:val="005832EE"/>
    <w:rsid w:val="005847EF"/>
    <w:rsid w:val="005851E6"/>
    <w:rsid w:val="005878B7"/>
    <w:rsid w:val="00592C9A"/>
    <w:rsid w:val="00593DF8"/>
    <w:rsid w:val="00595745"/>
    <w:rsid w:val="0059656F"/>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280"/>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576"/>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155"/>
    <w:rsid w:val="00723326"/>
    <w:rsid w:val="00724252"/>
    <w:rsid w:val="00727E7A"/>
    <w:rsid w:val="0073163C"/>
    <w:rsid w:val="00731DE3"/>
    <w:rsid w:val="0073381B"/>
    <w:rsid w:val="00735B9D"/>
    <w:rsid w:val="007365A5"/>
    <w:rsid w:val="00736FB0"/>
    <w:rsid w:val="007404BC"/>
    <w:rsid w:val="00740D13"/>
    <w:rsid w:val="00740F5F"/>
    <w:rsid w:val="00742794"/>
    <w:rsid w:val="00743C4C"/>
    <w:rsid w:val="007445B7"/>
    <w:rsid w:val="00744920"/>
    <w:rsid w:val="007509BE"/>
    <w:rsid w:val="0075287B"/>
    <w:rsid w:val="00755C7B"/>
    <w:rsid w:val="00755F62"/>
    <w:rsid w:val="0076304A"/>
    <w:rsid w:val="00764786"/>
    <w:rsid w:val="00766E12"/>
    <w:rsid w:val="0077098E"/>
    <w:rsid w:val="00771287"/>
    <w:rsid w:val="0077149E"/>
    <w:rsid w:val="00777518"/>
    <w:rsid w:val="0077779E"/>
    <w:rsid w:val="00780FB6"/>
    <w:rsid w:val="0078552A"/>
    <w:rsid w:val="00785729"/>
    <w:rsid w:val="00786058"/>
    <w:rsid w:val="00793AEA"/>
    <w:rsid w:val="0079487D"/>
    <w:rsid w:val="007966D4"/>
    <w:rsid w:val="00796A0A"/>
    <w:rsid w:val="0079792C"/>
    <w:rsid w:val="007A0989"/>
    <w:rsid w:val="007A331F"/>
    <w:rsid w:val="007A3844"/>
    <w:rsid w:val="007A4381"/>
    <w:rsid w:val="007A5466"/>
    <w:rsid w:val="007A7EC1"/>
    <w:rsid w:val="007B4157"/>
    <w:rsid w:val="007B4FCA"/>
    <w:rsid w:val="007B7B85"/>
    <w:rsid w:val="007C462E"/>
    <w:rsid w:val="007C496B"/>
    <w:rsid w:val="007C6803"/>
    <w:rsid w:val="007D2892"/>
    <w:rsid w:val="007D2DCC"/>
    <w:rsid w:val="007D47E1"/>
    <w:rsid w:val="007D5234"/>
    <w:rsid w:val="007D7FCB"/>
    <w:rsid w:val="007E33B6"/>
    <w:rsid w:val="007E59E8"/>
    <w:rsid w:val="007F3861"/>
    <w:rsid w:val="007F4162"/>
    <w:rsid w:val="007F5441"/>
    <w:rsid w:val="007F565C"/>
    <w:rsid w:val="007F7668"/>
    <w:rsid w:val="00800C63"/>
    <w:rsid w:val="00801B1E"/>
    <w:rsid w:val="00802243"/>
    <w:rsid w:val="008023D4"/>
    <w:rsid w:val="00804124"/>
    <w:rsid w:val="00805402"/>
    <w:rsid w:val="0080709F"/>
    <w:rsid w:val="0080765F"/>
    <w:rsid w:val="00812BE3"/>
    <w:rsid w:val="00814516"/>
    <w:rsid w:val="0081467B"/>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A75"/>
    <w:rsid w:val="008C132C"/>
    <w:rsid w:val="008C3FD0"/>
    <w:rsid w:val="008C41CF"/>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264"/>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DF9"/>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747"/>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EAA"/>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4E83"/>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71B"/>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642"/>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313B"/>
    <w:rsid w:val="00B65695"/>
    <w:rsid w:val="00B66526"/>
    <w:rsid w:val="00B665A3"/>
    <w:rsid w:val="00B73BB4"/>
    <w:rsid w:val="00B80532"/>
    <w:rsid w:val="00B82039"/>
    <w:rsid w:val="00B82454"/>
    <w:rsid w:val="00B879A0"/>
    <w:rsid w:val="00B90097"/>
    <w:rsid w:val="00B90999"/>
    <w:rsid w:val="00B91AD7"/>
    <w:rsid w:val="00B92D23"/>
    <w:rsid w:val="00B95BC8"/>
    <w:rsid w:val="00B96E87"/>
    <w:rsid w:val="00BA146A"/>
    <w:rsid w:val="00BA32EE"/>
    <w:rsid w:val="00BB5B36"/>
    <w:rsid w:val="00BC027B"/>
    <w:rsid w:val="00BC30A6"/>
    <w:rsid w:val="00BC3ED3"/>
    <w:rsid w:val="00BC3EF6"/>
    <w:rsid w:val="00BC4265"/>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7DF"/>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668"/>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76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0ED"/>
    <w:rsid w:val="00CF55FA"/>
    <w:rsid w:val="00CF581C"/>
    <w:rsid w:val="00CF71E0"/>
    <w:rsid w:val="00D001B1"/>
    <w:rsid w:val="00D03176"/>
    <w:rsid w:val="00D041FC"/>
    <w:rsid w:val="00D060A8"/>
    <w:rsid w:val="00D06605"/>
    <w:rsid w:val="00D0720F"/>
    <w:rsid w:val="00D074E2"/>
    <w:rsid w:val="00D11B0B"/>
    <w:rsid w:val="00D12A3E"/>
    <w:rsid w:val="00D1637C"/>
    <w:rsid w:val="00D22160"/>
    <w:rsid w:val="00D22172"/>
    <w:rsid w:val="00D2301B"/>
    <w:rsid w:val="00D239EE"/>
    <w:rsid w:val="00D2681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CDE"/>
    <w:rsid w:val="00D91B92"/>
    <w:rsid w:val="00D926B3"/>
    <w:rsid w:val="00D92DE8"/>
    <w:rsid w:val="00D92F63"/>
    <w:rsid w:val="00D9308B"/>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C3C"/>
    <w:rsid w:val="00DD128C"/>
    <w:rsid w:val="00DD1B8F"/>
    <w:rsid w:val="00DD5BCC"/>
    <w:rsid w:val="00DD7509"/>
    <w:rsid w:val="00DD79C7"/>
    <w:rsid w:val="00DD7D6E"/>
    <w:rsid w:val="00DE34B2"/>
    <w:rsid w:val="00DE49DE"/>
    <w:rsid w:val="00DE618B"/>
    <w:rsid w:val="00DE6EC2"/>
    <w:rsid w:val="00DF0834"/>
    <w:rsid w:val="00DF0873"/>
    <w:rsid w:val="00DF2707"/>
    <w:rsid w:val="00DF4454"/>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651"/>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0A3"/>
    <w:rsid w:val="00F176E4"/>
    <w:rsid w:val="00F20E5F"/>
    <w:rsid w:val="00F23288"/>
    <w:rsid w:val="00F25C26"/>
    <w:rsid w:val="00F25CC2"/>
    <w:rsid w:val="00F27573"/>
    <w:rsid w:val="00F307B6"/>
    <w:rsid w:val="00F30EB8"/>
    <w:rsid w:val="00F31876"/>
    <w:rsid w:val="00F31C67"/>
    <w:rsid w:val="00F36FE0"/>
    <w:rsid w:val="00F374D6"/>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813233-F099-4BF0-82DB-4F4F081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A345B"/>
    <w:rPr>
      <w:sz w:val="16"/>
      <w:szCs w:val="16"/>
    </w:rPr>
  </w:style>
  <w:style w:type="paragraph" w:styleId="CommentText">
    <w:name w:val="annotation text"/>
    <w:basedOn w:val="Normal"/>
    <w:link w:val="CommentTextChar"/>
    <w:unhideWhenUsed/>
    <w:rsid w:val="000A345B"/>
    <w:rPr>
      <w:sz w:val="20"/>
      <w:szCs w:val="20"/>
    </w:rPr>
  </w:style>
  <w:style w:type="character" w:customStyle="1" w:styleId="CommentTextChar">
    <w:name w:val="Comment Text Char"/>
    <w:basedOn w:val="DefaultParagraphFont"/>
    <w:link w:val="CommentText"/>
    <w:rsid w:val="000A345B"/>
  </w:style>
  <w:style w:type="paragraph" w:styleId="CommentSubject">
    <w:name w:val="annotation subject"/>
    <w:basedOn w:val="CommentText"/>
    <w:next w:val="CommentText"/>
    <w:link w:val="CommentSubjectChar"/>
    <w:semiHidden/>
    <w:unhideWhenUsed/>
    <w:rsid w:val="000A345B"/>
    <w:rPr>
      <w:b/>
      <w:bCs/>
    </w:rPr>
  </w:style>
  <w:style w:type="character" w:customStyle="1" w:styleId="CommentSubjectChar">
    <w:name w:val="Comment Subject Char"/>
    <w:basedOn w:val="CommentTextChar"/>
    <w:link w:val="CommentSubject"/>
    <w:semiHidden/>
    <w:rsid w:val="000A345B"/>
    <w:rPr>
      <w:b/>
      <w:bCs/>
    </w:rPr>
  </w:style>
  <w:style w:type="paragraph" w:styleId="Revision">
    <w:name w:val="Revision"/>
    <w:hidden/>
    <w:uiPriority w:val="99"/>
    <w:semiHidden/>
    <w:rsid w:val="007B4157"/>
    <w:rPr>
      <w:sz w:val="24"/>
      <w:szCs w:val="24"/>
    </w:rPr>
  </w:style>
  <w:style w:type="character" w:styleId="Hyperlink">
    <w:name w:val="Hyperlink"/>
    <w:basedOn w:val="DefaultParagraphFont"/>
    <w:unhideWhenUsed/>
    <w:rsid w:val="007B4157"/>
    <w:rPr>
      <w:color w:val="0000FF" w:themeColor="hyperlink"/>
      <w:u w:val="single"/>
    </w:rPr>
  </w:style>
  <w:style w:type="character" w:customStyle="1" w:styleId="UnresolvedMention1">
    <w:name w:val="Unresolved Mention1"/>
    <w:basedOn w:val="DefaultParagraphFont"/>
    <w:uiPriority w:val="99"/>
    <w:semiHidden/>
    <w:unhideWhenUsed/>
    <w:rsid w:val="007B4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4267</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BA - HB00229 (Committee Report (Unamended))</vt:lpstr>
    </vt:vector>
  </TitlesOfParts>
  <Company>State of Texas</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27502</dc:subject>
  <dc:creator>State of Texas</dc:creator>
  <dc:description>HB 229 by Troxclair-(H)State Affairs</dc:description>
  <cp:lastModifiedBy>Stacey Nicchio</cp:lastModifiedBy>
  <cp:revision>2</cp:revision>
  <cp:lastPrinted>2003-11-26T17:21:00Z</cp:lastPrinted>
  <dcterms:created xsi:type="dcterms:W3CDTF">2025-05-06T01:00:00Z</dcterms:created>
  <dcterms:modified xsi:type="dcterms:W3CDTF">2025-05-06T01:00:00Z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25.121.493</vt:lpwstr>
  </property>
</Properties>
</file>