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97A" w:rsidRDefault="0065797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6A3427BF9A44DDBA02B22927E2AEB1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5797A" w:rsidRPr="00585C31" w:rsidRDefault="0065797A" w:rsidP="000F1DF9">
      <w:pPr>
        <w:spacing w:after="0" w:line="240" w:lineRule="auto"/>
        <w:rPr>
          <w:rFonts w:cs="Times New Roman"/>
          <w:szCs w:val="24"/>
        </w:rPr>
      </w:pPr>
    </w:p>
    <w:p w:rsidR="0065797A" w:rsidRPr="00585C31" w:rsidRDefault="0065797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5797A" w:rsidTr="000F1DF9">
        <w:tc>
          <w:tcPr>
            <w:tcW w:w="2718" w:type="dxa"/>
          </w:tcPr>
          <w:p w:rsidR="0065797A" w:rsidRPr="005C2A78" w:rsidRDefault="0065797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C48E50C2D244A4D80AA8D3CF27355F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5797A" w:rsidRPr="00FF6471" w:rsidRDefault="0065797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7FECF367DAD415382700895BC469ED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305</w:t>
                </w:r>
              </w:sdtContent>
            </w:sdt>
          </w:p>
        </w:tc>
      </w:tr>
      <w:tr w:rsidR="0065797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5B6F84A37C4462891E604DD40453745"/>
            </w:placeholder>
          </w:sdtPr>
          <w:sdtContent>
            <w:tc>
              <w:tcPr>
                <w:tcW w:w="2718" w:type="dxa"/>
              </w:tcPr>
              <w:p w:rsidR="0065797A" w:rsidRPr="000F1DF9" w:rsidRDefault="0065797A" w:rsidP="00C65088">
                <w:pPr>
                  <w:rPr>
                    <w:rFonts w:cs="Times New Roman"/>
                    <w:szCs w:val="24"/>
                  </w:rPr>
                </w:pPr>
                <w:r w:rsidRPr="005D31D5">
                  <w:rPr>
                    <w:rFonts w:cs="Times New Roman"/>
                    <w:szCs w:val="24"/>
                  </w:rPr>
                  <w:t>89R15377 EAS-D</w:t>
                </w:r>
              </w:p>
            </w:tc>
          </w:sdtContent>
        </w:sdt>
        <w:tc>
          <w:tcPr>
            <w:tcW w:w="6858" w:type="dxa"/>
          </w:tcPr>
          <w:p w:rsidR="0065797A" w:rsidRPr="005C2A78" w:rsidRDefault="0065797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518343F896045508F6DC02D62C70D8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BCA7F85F1834413986D9B6BDAD5F43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Hayes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87FD11FECA24F4CBE8BE53D197903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(Cook)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3B606C8D2944A118AF7414A98A881CC"/>
                </w:placeholder>
                <w:showingPlcHdr/>
              </w:sdtPr>
              <w:sdtContent/>
            </w:sdt>
          </w:p>
        </w:tc>
      </w:tr>
      <w:tr w:rsidR="0065797A" w:rsidTr="000F1DF9">
        <w:tc>
          <w:tcPr>
            <w:tcW w:w="2718" w:type="dxa"/>
          </w:tcPr>
          <w:p w:rsidR="0065797A" w:rsidRPr="00BC7495" w:rsidRDefault="0065797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FE1E4D0DBFF4988808311F89E9542EC"/>
            </w:placeholder>
          </w:sdtPr>
          <w:sdtContent>
            <w:tc>
              <w:tcPr>
                <w:tcW w:w="6858" w:type="dxa"/>
              </w:tcPr>
              <w:p w:rsidR="0065797A" w:rsidRPr="00FF6471" w:rsidRDefault="0065797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65797A" w:rsidTr="000F1DF9">
        <w:tc>
          <w:tcPr>
            <w:tcW w:w="2718" w:type="dxa"/>
          </w:tcPr>
          <w:p w:rsidR="0065797A" w:rsidRPr="00BC7495" w:rsidRDefault="0065797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19AB2F6BF7E40E19E0EE2CEF4F1BA4B"/>
            </w:placeholder>
            <w:date w:fullDate="2025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5797A" w:rsidRPr="00FF6471" w:rsidRDefault="0065797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5/16/2025</w:t>
                </w:r>
              </w:p>
            </w:tc>
          </w:sdtContent>
        </w:sdt>
      </w:tr>
      <w:tr w:rsidR="0065797A" w:rsidTr="000F1DF9">
        <w:tc>
          <w:tcPr>
            <w:tcW w:w="2718" w:type="dxa"/>
          </w:tcPr>
          <w:p w:rsidR="0065797A" w:rsidRPr="00BC7495" w:rsidRDefault="0065797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AE49D0DC54347CFA49B0603D0057431"/>
            </w:placeholder>
          </w:sdtPr>
          <w:sdtContent>
            <w:tc>
              <w:tcPr>
                <w:tcW w:w="6858" w:type="dxa"/>
              </w:tcPr>
              <w:p w:rsidR="0065797A" w:rsidRPr="00FF6471" w:rsidRDefault="0065797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65797A" w:rsidRPr="00FF6471" w:rsidRDefault="0065797A" w:rsidP="000F1DF9">
      <w:pPr>
        <w:spacing w:after="0" w:line="240" w:lineRule="auto"/>
        <w:rPr>
          <w:rFonts w:cs="Times New Roman"/>
          <w:szCs w:val="24"/>
        </w:rPr>
      </w:pPr>
    </w:p>
    <w:p w:rsidR="0065797A" w:rsidRPr="00FF6471" w:rsidRDefault="0065797A" w:rsidP="000F1DF9">
      <w:pPr>
        <w:spacing w:after="0" w:line="240" w:lineRule="auto"/>
        <w:rPr>
          <w:rFonts w:cs="Times New Roman"/>
          <w:szCs w:val="24"/>
        </w:rPr>
      </w:pPr>
    </w:p>
    <w:p w:rsidR="0065797A" w:rsidRPr="00FF6471" w:rsidRDefault="0065797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0F00A773080403EAA75AEE078DD8C68"/>
        </w:placeholder>
      </w:sdtPr>
      <w:sdtContent>
        <w:p w:rsidR="0065797A" w:rsidRDefault="0065797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ED133CD9753487F948D35C5CDCEA4F7"/>
        </w:placeholder>
      </w:sdtPr>
      <w:sdtContent>
        <w:p w:rsidR="0065797A" w:rsidRDefault="0065797A" w:rsidP="00B15350">
          <w:pPr>
            <w:pStyle w:val="NormalWeb"/>
            <w:spacing w:before="0" w:beforeAutospacing="0" w:after="0" w:afterAutospacing="0"/>
            <w:jc w:val="both"/>
            <w:divId w:val="1840196962"/>
            <w:rPr>
              <w:rFonts w:eastAsia="Times New Roman"/>
              <w:bCs/>
            </w:rPr>
          </w:pPr>
        </w:p>
        <w:p w:rsidR="0065797A" w:rsidRDefault="0065797A" w:rsidP="00B15350">
          <w:pPr>
            <w:pStyle w:val="NormalWeb"/>
            <w:spacing w:before="0" w:beforeAutospacing="0" w:after="0" w:afterAutospacing="0"/>
            <w:jc w:val="both"/>
            <w:divId w:val="1840196962"/>
            <w:rPr>
              <w:color w:val="000000"/>
            </w:rPr>
          </w:pPr>
          <w:r w:rsidRPr="005D31D5">
            <w:rPr>
              <w:color w:val="000000"/>
            </w:rPr>
            <w:t>The forensic waitlist for competency restoration services in Texas has reached unprecedented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 xml:space="preserve">levels. In December 2023, over 2,250 individuals were on the waitlist for </w:t>
          </w:r>
          <w:r>
            <w:rPr>
              <w:color w:val="000000"/>
            </w:rPr>
            <w:t xml:space="preserve">a </w:t>
          </w:r>
          <w:r w:rsidRPr="005D31D5">
            <w:rPr>
              <w:color w:val="000000"/>
            </w:rPr>
            <w:t>treatment bed</w:t>
          </w:r>
          <w:r>
            <w:rPr>
              <w:color w:val="000000"/>
            </w:rPr>
            <w:t>—</w:t>
          </w:r>
          <w:r w:rsidRPr="005D31D5">
            <w:rPr>
              <w:color w:val="000000"/>
            </w:rPr>
            <w:t>a 247</w:t>
          </w:r>
          <w:r>
            <w:rPr>
              <w:color w:val="000000"/>
            </w:rPr>
            <w:t xml:space="preserve"> percent </w:t>
          </w:r>
          <w:r w:rsidRPr="005D31D5">
            <w:rPr>
              <w:color w:val="000000"/>
            </w:rPr>
            <w:t>increase since September 2018. A key contributor to this crisis is the cycle of decompensation that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occurs when defendants who have been restored to competency remain in county jails without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prompt court proceedings. According to the Texas State Auditor's 2024 report on competency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restoration services, 341 individuals appeared on the waitlist multiple times for the same charges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between 2018 and 2023. This occurs because defendants often decompensate while awaiting court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action, necessitating repeated competency restoration services for the same case. Article 46B.084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of the Code of Criminal Procedure establishes procedures for returning restored defendants to court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but lacks any specific timeline requirements for conducting pretrial hearings. This statutory vacuum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allows indefinite delays between competency restoration and court proceedings. Meanwhile, Texas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law already recognizes the critical window following competency restoration by requiring the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Texas Correctional Office on Offenders with Medical or Mental Impairments to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provide a fixed supply of medication to individuals returning from state hospitals. However,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without a corresponding requirement for timely court proceedings, this medication provision alone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is insufficient to maintain competency.</w:t>
          </w:r>
        </w:p>
        <w:p w:rsidR="0065797A" w:rsidRPr="005D31D5" w:rsidRDefault="0065797A" w:rsidP="00B15350">
          <w:pPr>
            <w:pStyle w:val="NormalWeb"/>
            <w:spacing w:before="0" w:beforeAutospacing="0" w:after="0" w:afterAutospacing="0"/>
            <w:jc w:val="both"/>
            <w:divId w:val="1840196962"/>
            <w:rPr>
              <w:color w:val="000000"/>
            </w:rPr>
          </w:pPr>
        </w:p>
        <w:p w:rsidR="0065797A" w:rsidRDefault="0065797A" w:rsidP="00B15350">
          <w:pPr>
            <w:pStyle w:val="NormalWeb"/>
            <w:spacing w:before="0" w:beforeAutospacing="0" w:after="0" w:afterAutospacing="0"/>
            <w:jc w:val="both"/>
            <w:divId w:val="1840196962"/>
            <w:rPr>
              <w:color w:val="000000"/>
            </w:rPr>
          </w:pPr>
          <w:r w:rsidRPr="005D31D5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5D31D5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5D31D5">
            <w:rPr>
              <w:color w:val="000000"/>
            </w:rPr>
            <w:t xml:space="preserve"> 305 requires that a court conduct the next pretrial hearing for a defendant who has been restored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to competency within 14 days of the defendant's restoration. In doing so, H</w:t>
          </w:r>
          <w:r>
            <w:rPr>
              <w:color w:val="000000"/>
            </w:rPr>
            <w:t>.</w:t>
          </w:r>
          <w:r w:rsidRPr="005D31D5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5D31D5">
            <w:rPr>
              <w:color w:val="000000"/>
            </w:rPr>
            <w:t xml:space="preserve"> 305 prevents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unnecessary decompensation of vulnerable defendants while awaiting trial</w:t>
          </w:r>
          <w:r>
            <w:rPr>
              <w:color w:val="000000"/>
            </w:rPr>
            <w:t>,</w:t>
          </w:r>
          <w:r w:rsidRPr="005D31D5">
            <w:rPr>
              <w:color w:val="000000"/>
            </w:rPr>
            <w:t xml:space="preserve"> reduces the strain on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the forensic waitlist by decreasing recidivism in the competency restoration system</w:t>
          </w:r>
          <w:r>
            <w:rPr>
              <w:color w:val="000000"/>
            </w:rPr>
            <w:t>,</w:t>
          </w:r>
          <w:r w:rsidRPr="005D31D5">
            <w:rPr>
              <w:color w:val="000000"/>
            </w:rPr>
            <w:t xml:space="preserve"> conserves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county jail resources currently expended on housing decompensated defendants awaiting rerestoration</w:t>
          </w:r>
          <w:r>
            <w:rPr>
              <w:color w:val="000000"/>
            </w:rPr>
            <w:t>,</w:t>
          </w:r>
          <w:r w:rsidRPr="005D31D5">
            <w:rPr>
              <w:color w:val="000000"/>
            </w:rPr>
            <w:t xml:space="preserve"> and promotes efficiency in the criminal justice system by ensuring cases move forward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promptly once competency is restored.</w:t>
          </w:r>
        </w:p>
        <w:p w:rsidR="0065797A" w:rsidRPr="005D31D5" w:rsidRDefault="0065797A" w:rsidP="00B15350">
          <w:pPr>
            <w:pStyle w:val="NormalWeb"/>
            <w:spacing w:before="0" w:beforeAutospacing="0" w:after="0" w:afterAutospacing="0"/>
            <w:jc w:val="both"/>
            <w:divId w:val="1840196962"/>
            <w:rPr>
              <w:color w:val="000000"/>
            </w:rPr>
          </w:pPr>
        </w:p>
        <w:p w:rsidR="0065797A" w:rsidRPr="005D31D5" w:rsidRDefault="0065797A" w:rsidP="00B15350">
          <w:pPr>
            <w:pStyle w:val="NormalWeb"/>
            <w:spacing w:before="0" w:beforeAutospacing="0" w:after="0" w:afterAutospacing="0"/>
            <w:jc w:val="both"/>
            <w:divId w:val="1840196962"/>
            <w:rPr>
              <w:color w:val="000000"/>
            </w:rPr>
          </w:pPr>
          <w:r w:rsidRPr="005D31D5">
            <w:rPr>
              <w:color w:val="000000"/>
            </w:rPr>
            <w:t xml:space="preserve">The bill passed the </w:t>
          </w:r>
          <w:r>
            <w:rPr>
              <w:color w:val="000000"/>
            </w:rPr>
            <w:t>h</w:t>
          </w:r>
          <w:r w:rsidRPr="005D31D5">
            <w:rPr>
              <w:color w:val="000000"/>
            </w:rPr>
            <w:t>ouse with near unanimous support (unofficial vote total is 136 yeas and 4</w:t>
          </w:r>
          <w:r>
            <w:rPr>
              <w:color w:val="000000"/>
            </w:rPr>
            <w:t xml:space="preserve"> </w:t>
          </w:r>
          <w:r w:rsidRPr="005D31D5">
            <w:rPr>
              <w:color w:val="000000"/>
            </w:rPr>
            <w:t>nays). There is no known stakeholder opposition.</w:t>
          </w:r>
        </w:p>
        <w:p w:rsidR="0065797A" w:rsidRPr="00D70925" w:rsidRDefault="0065797A" w:rsidP="00B1535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5797A" w:rsidRDefault="0065797A" w:rsidP="00B1535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305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time period for conducting pretrial hearings after a criminal defendant has been restored to competency.</w:t>
      </w:r>
    </w:p>
    <w:p w:rsidR="0065797A" w:rsidRPr="00DA2E1F" w:rsidRDefault="0065797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797A" w:rsidRPr="005C2A78" w:rsidRDefault="0065797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22BCC31243F4292B55DB5E162386D2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5797A" w:rsidRPr="006529C4" w:rsidRDefault="0065797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5797A" w:rsidRPr="006529C4" w:rsidRDefault="0065797A" w:rsidP="00B1535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5797A" w:rsidRPr="006529C4" w:rsidRDefault="0065797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5797A" w:rsidRPr="005C2A78" w:rsidRDefault="0065797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14E1A0B94E0485C93ABCC4DAF80C89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5797A" w:rsidRPr="005C2A78" w:rsidRDefault="0065797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797A" w:rsidRPr="005D31D5" w:rsidRDefault="0065797A" w:rsidP="00B1535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D31D5">
        <w:rPr>
          <w:rFonts w:eastAsia="Times New Roman" w:cs="Times New Roman"/>
          <w:szCs w:val="24"/>
        </w:rPr>
        <w:t xml:space="preserve">SECTION 1.  </w:t>
      </w:r>
      <w:r>
        <w:rPr>
          <w:rFonts w:eastAsia="Times New Roman" w:cs="Times New Roman"/>
          <w:szCs w:val="24"/>
        </w:rPr>
        <w:t xml:space="preserve">Amends </w:t>
      </w:r>
      <w:r w:rsidRPr="005D31D5">
        <w:rPr>
          <w:rFonts w:eastAsia="Times New Roman" w:cs="Times New Roman"/>
          <w:szCs w:val="24"/>
        </w:rPr>
        <w:t xml:space="preserve">Article 46B.084(d-1), Code of Criminal Procedure, </w:t>
      </w:r>
      <w:r>
        <w:rPr>
          <w:rFonts w:eastAsia="Times New Roman" w:cs="Times New Roman"/>
          <w:szCs w:val="24"/>
        </w:rPr>
        <w:t>to provide that</w:t>
      </w:r>
      <w:r w:rsidRPr="005D31D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</w:t>
      </w:r>
      <w:r w:rsidRPr="005D31D5">
        <w:rPr>
          <w:rFonts w:eastAsia="Times New Roman" w:cs="Times New Roman"/>
          <w:szCs w:val="24"/>
        </w:rPr>
        <w:t>rticle 46B.084</w:t>
      </w:r>
      <w:r>
        <w:rPr>
          <w:rFonts w:eastAsia="Times New Roman" w:cs="Times New Roman"/>
          <w:szCs w:val="24"/>
        </w:rPr>
        <w:t xml:space="preserve"> (Proceedings on Return of Defendant to Court) </w:t>
      </w:r>
      <w:r w:rsidRPr="005D31D5">
        <w:rPr>
          <w:rFonts w:eastAsia="Times New Roman" w:cs="Times New Roman"/>
          <w:szCs w:val="24"/>
        </w:rPr>
        <w:t xml:space="preserve">does not require the criminal case to be finally resolved within any specific period, except that, in a jurisdiction to which Subsection (d)(1) </w:t>
      </w:r>
      <w:r>
        <w:rPr>
          <w:rFonts w:eastAsia="Times New Roman" w:cs="Times New Roman"/>
          <w:szCs w:val="24"/>
        </w:rPr>
        <w:t xml:space="preserve">(relating to requiring that a criminal proceeding in a case against a defendant be resumed not later than the 14th day after competency has been restored) </w:t>
      </w:r>
      <w:r w:rsidRPr="005D31D5">
        <w:rPr>
          <w:rFonts w:eastAsia="Times New Roman" w:cs="Times New Roman"/>
          <w:szCs w:val="24"/>
        </w:rPr>
        <w:t xml:space="preserve">applies, a pretrial hearing on any evidentiary or procedural issue that </w:t>
      </w:r>
      <w:r>
        <w:rPr>
          <w:rFonts w:eastAsia="Times New Roman" w:cs="Times New Roman"/>
          <w:szCs w:val="24"/>
        </w:rPr>
        <w:t>is required to</w:t>
      </w:r>
      <w:r w:rsidRPr="005D31D5">
        <w:rPr>
          <w:rFonts w:eastAsia="Times New Roman" w:cs="Times New Roman"/>
          <w:szCs w:val="24"/>
        </w:rPr>
        <w:t xml:space="preserve"> be resolved for the criminal proceedings in the case to proceed to trial or another resolution </w:t>
      </w:r>
      <w:r>
        <w:rPr>
          <w:rFonts w:eastAsia="Times New Roman" w:cs="Times New Roman"/>
          <w:szCs w:val="24"/>
        </w:rPr>
        <w:t>that must</w:t>
      </w:r>
      <w:r w:rsidRPr="005D31D5">
        <w:rPr>
          <w:rFonts w:eastAsia="Times New Roman" w:cs="Times New Roman"/>
          <w:szCs w:val="24"/>
        </w:rPr>
        <w:t xml:space="preserve"> be conducted not later than the 14th day after the date of the court's determination under this article that the defendant's competency has been restored.</w:t>
      </w:r>
    </w:p>
    <w:p w:rsidR="0065797A" w:rsidRDefault="0065797A" w:rsidP="00B1535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797A" w:rsidRPr="00C8671F" w:rsidRDefault="0065797A" w:rsidP="00B1535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D31D5">
        <w:rPr>
          <w:rFonts w:eastAsia="Times New Roman" w:cs="Times New Roman"/>
          <w:szCs w:val="24"/>
        </w:rPr>
        <w:t xml:space="preserve">SECTION 2.  </w:t>
      </w:r>
      <w:r>
        <w:rPr>
          <w:rFonts w:eastAsia="Times New Roman" w:cs="Times New Roman"/>
          <w:szCs w:val="24"/>
        </w:rPr>
        <w:t>E</w:t>
      </w:r>
      <w:r w:rsidRPr="005D31D5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5D31D5">
        <w:rPr>
          <w:rFonts w:eastAsia="Times New Roman" w:cs="Times New Roman"/>
          <w:szCs w:val="24"/>
        </w:rPr>
        <w:t xml:space="preserve"> September 1, 2025.</w:t>
      </w:r>
    </w:p>
    <w:sectPr w:rsidR="0065797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735" w:rsidRDefault="00075735" w:rsidP="000F1DF9">
      <w:pPr>
        <w:spacing w:after="0" w:line="240" w:lineRule="auto"/>
      </w:pPr>
      <w:r>
        <w:separator/>
      </w:r>
    </w:p>
  </w:endnote>
  <w:endnote w:type="continuationSeparator" w:id="0">
    <w:p w:rsidR="00075735" w:rsidRDefault="0007573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7573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5797A">
                <w:rPr>
                  <w:sz w:val="20"/>
                  <w:szCs w:val="20"/>
                </w:rPr>
                <w:t>MLZ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5797A">
                <w:rPr>
                  <w:sz w:val="20"/>
                  <w:szCs w:val="20"/>
                </w:rPr>
                <w:t>H.B. 305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5797A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7573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735" w:rsidRDefault="00075735" w:rsidP="000F1DF9">
      <w:pPr>
        <w:spacing w:after="0" w:line="240" w:lineRule="auto"/>
      </w:pPr>
      <w:r>
        <w:separator/>
      </w:r>
    </w:p>
  </w:footnote>
  <w:footnote w:type="continuationSeparator" w:id="0">
    <w:p w:rsidR="00075735" w:rsidRDefault="0007573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75735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5797A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4B64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E4E27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816C6"/>
  <w15:docId w15:val="{1B54D09D-8EC1-46AB-88F2-996AD97D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97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6A3427BF9A44DDBA02B22927E2AE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6570-D674-4074-8814-6547FEAB0EFE}"/>
      </w:docPartPr>
      <w:docPartBody>
        <w:p w:rsidR="004D5D5C" w:rsidRDefault="004D5D5C"/>
      </w:docPartBody>
    </w:docPart>
    <w:docPart>
      <w:docPartPr>
        <w:name w:val="7C48E50C2D244A4D80AA8D3CF273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FFAD-109C-48B2-AA29-4C9361405A74}"/>
      </w:docPartPr>
      <w:docPartBody>
        <w:p w:rsidR="004D5D5C" w:rsidRDefault="004D5D5C"/>
      </w:docPartBody>
    </w:docPart>
    <w:docPart>
      <w:docPartPr>
        <w:name w:val="F7FECF367DAD415382700895BC46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40A5-D621-4569-8F6F-C2AB154BCF84}"/>
      </w:docPartPr>
      <w:docPartBody>
        <w:p w:rsidR="004D5D5C" w:rsidRDefault="004D5D5C"/>
      </w:docPartBody>
    </w:docPart>
    <w:docPart>
      <w:docPartPr>
        <w:name w:val="15B6F84A37C4462891E604DD4045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3821-21F0-4F41-A7BD-3036A3FECE29}"/>
      </w:docPartPr>
      <w:docPartBody>
        <w:p w:rsidR="004D5D5C" w:rsidRDefault="004D5D5C"/>
      </w:docPartBody>
    </w:docPart>
    <w:docPart>
      <w:docPartPr>
        <w:name w:val="4518343F896045508F6DC02D62C70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0315-3D9E-4D6B-82C4-6E30298D38AB}"/>
      </w:docPartPr>
      <w:docPartBody>
        <w:p w:rsidR="004D5D5C" w:rsidRDefault="004D5D5C"/>
      </w:docPartBody>
    </w:docPart>
    <w:docPart>
      <w:docPartPr>
        <w:name w:val="2BCA7F85F1834413986D9B6BDAD5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706B-AA04-404D-9A9D-06EB39DA049F}"/>
      </w:docPartPr>
      <w:docPartBody>
        <w:p w:rsidR="004D5D5C" w:rsidRDefault="004D5D5C"/>
      </w:docPartBody>
    </w:docPart>
    <w:docPart>
      <w:docPartPr>
        <w:name w:val="487FD11FECA24F4CBE8BE53D19790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E5F1-F0FA-465F-B4BE-8D4497956984}"/>
      </w:docPartPr>
      <w:docPartBody>
        <w:p w:rsidR="004D5D5C" w:rsidRDefault="004D5D5C"/>
      </w:docPartBody>
    </w:docPart>
    <w:docPart>
      <w:docPartPr>
        <w:name w:val="F3B606C8D2944A118AF7414A98A8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22580-F4DB-43F0-A453-168BA82616C0}"/>
      </w:docPartPr>
      <w:docPartBody>
        <w:p w:rsidR="004D5D5C" w:rsidRDefault="004D5D5C"/>
      </w:docPartBody>
    </w:docPart>
    <w:docPart>
      <w:docPartPr>
        <w:name w:val="4FE1E4D0DBFF4988808311F89E95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487C-0D36-4D50-9E3C-D7A0E589E490}"/>
      </w:docPartPr>
      <w:docPartBody>
        <w:p w:rsidR="004D5D5C" w:rsidRDefault="004D5D5C"/>
      </w:docPartBody>
    </w:docPart>
    <w:docPart>
      <w:docPartPr>
        <w:name w:val="219AB2F6BF7E40E19E0EE2CEF4F1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2545-94B8-4669-9010-D3A7E4856F4D}"/>
      </w:docPartPr>
      <w:docPartBody>
        <w:p w:rsidR="004D5D5C" w:rsidRDefault="00AE2BF2" w:rsidP="00AE2BF2">
          <w:pPr>
            <w:pStyle w:val="219AB2F6BF7E40E19E0EE2CEF4F1BA4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AE49D0DC54347CFA49B0603D0057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30AE-16EB-4980-B391-B5EBCCB96E3B}"/>
      </w:docPartPr>
      <w:docPartBody>
        <w:p w:rsidR="004D5D5C" w:rsidRDefault="004D5D5C"/>
      </w:docPartBody>
    </w:docPart>
    <w:docPart>
      <w:docPartPr>
        <w:name w:val="60F00A773080403EAA75AEE078DD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EEFF-7B26-4795-92FE-4FA005BBACCC}"/>
      </w:docPartPr>
      <w:docPartBody>
        <w:p w:rsidR="004D5D5C" w:rsidRDefault="004D5D5C"/>
      </w:docPartBody>
    </w:docPart>
    <w:docPart>
      <w:docPartPr>
        <w:name w:val="7ED133CD9753487F948D35C5CDCE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BF80-CBE9-4A3B-9A61-B09C262E11A5}"/>
      </w:docPartPr>
      <w:docPartBody>
        <w:p w:rsidR="004D5D5C" w:rsidRDefault="00AE2BF2" w:rsidP="00AE2BF2">
          <w:pPr>
            <w:pStyle w:val="7ED133CD9753487F948D35C5CDCEA4F7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922BCC31243F4292B55DB5E16238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3E39C-6F97-43EC-B2E3-53DC7E88B2C6}"/>
      </w:docPartPr>
      <w:docPartBody>
        <w:p w:rsidR="004D5D5C" w:rsidRDefault="004D5D5C"/>
      </w:docPartBody>
    </w:docPart>
    <w:docPart>
      <w:docPartPr>
        <w:name w:val="B14E1A0B94E0485C93ABCC4DAF80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B31D-5756-4FEA-9349-169B36E912B8}"/>
      </w:docPartPr>
      <w:docPartBody>
        <w:p w:rsidR="004D5D5C" w:rsidRDefault="004D5D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D5D5C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E2BF2"/>
    <w:rsid w:val="00B252A4"/>
    <w:rsid w:val="00B5530B"/>
    <w:rsid w:val="00BC4B64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BF2"/>
    <w:rPr>
      <w:color w:val="808080"/>
    </w:rPr>
  </w:style>
  <w:style w:type="paragraph" w:customStyle="1" w:styleId="219AB2F6BF7E40E19E0EE2CEF4F1BA4B">
    <w:name w:val="219AB2F6BF7E40E19E0EE2CEF4F1BA4B"/>
    <w:rsid w:val="00AE2BF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D133CD9753487F948D35C5CDCEA4F7">
    <w:name w:val="7ED133CD9753487F948D35C5CDCEA4F7"/>
    <w:rsid w:val="00AE2BF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534</Words>
  <Characters>3050</Characters>
  <Application>Microsoft Office Word</Application>
  <DocSecurity>0</DocSecurity>
  <Lines>25</Lines>
  <Paragraphs>7</Paragraphs>
  <ScaleCrop>false</ScaleCrop>
  <Company>Texas Legislative Council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cp:lastPrinted>2025-05-16T18:23:00Z</cp:lastPrinted>
  <dcterms:created xsi:type="dcterms:W3CDTF">2015-05-29T14:24:00Z</dcterms:created>
  <dcterms:modified xsi:type="dcterms:W3CDTF">2025-05-16T18:23:00Z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