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02D69" w14:paraId="29A9CD96" w14:textId="77777777" w:rsidTr="00345119">
        <w:tc>
          <w:tcPr>
            <w:tcW w:w="9576" w:type="dxa"/>
            <w:noWrap/>
          </w:tcPr>
          <w:p w14:paraId="79A42845" w14:textId="77777777" w:rsidR="008423E4" w:rsidRPr="0022177D" w:rsidRDefault="0029374A" w:rsidP="007D4D01">
            <w:pPr>
              <w:pStyle w:val="Heading1"/>
            </w:pPr>
            <w:r w:rsidRPr="00631897">
              <w:t>BILL ANALYSIS</w:t>
            </w:r>
          </w:p>
        </w:tc>
      </w:tr>
    </w:tbl>
    <w:p w14:paraId="7240CA55" w14:textId="77777777" w:rsidR="008423E4" w:rsidRPr="0022177D" w:rsidRDefault="008423E4" w:rsidP="007D4D01">
      <w:pPr>
        <w:jc w:val="center"/>
      </w:pPr>
    </w:p>
    <w:p w14:paraId="3A9F0CB9" w14:textId="77777777" w:rsidR="008423E4" w:rsidRPr="00B31F0E" w:rsidRDefault="008423E4" w:rsidP="007D4D01"/>
    <w:p w14:paraId="02B7FA24" w14:textId="77777777" w:rsidR="008423E4" w:rsidRPr="00742794" w:rsidRDefault="008423E4" w:rsidP="007D4D01">
      <w:pPr>
        <w:tabs>
          <w:tab w:val="right" w:pos="9360"/>
        </w:tabs>
      </w:pPr>
    </w:p>
    <w:tbl>
      <w:tblPr>
        <w:tblW w:w="0" w:type="auto"/>
        <w:tblLayout w:type="fixed"/>
        <w:tblLook w:val="01E0" w:firstRow="1" w:lastRow="1" w:firstColumn="1" w:lastColumn="1" w:noHBand="0" w:noVBand="0"/>
      </w:tblPr>
      <w:tblGrid>
        <w:gridCol w:w="9576"/>
      </w:tblGrid>
      <w:tr w:rsidR="00502D69" w14:paraId="1A64511E" w14:textId="77777777" w:rsidTr="00345119">
        <w:tc>
          <w:tcPr>
            <w:tcW w:w="9576" w:type="dxa"/>
          </w:tcPr>
          <w:p w14:paraId="6703DDE4" w14:textId="2C61990A" w:rsidR="008423E4" w:rsidRPr="00861995" w:rsidRDefault="0029374A" w:rsidP="007D4D01">
            <w:pPr>
              <w:jc w:val="right"/>
            </w:pPr>
            <w:r>
              <w:t>H.B. 346</w:t>
            </w:r>
          </w:p>
        </w:tc>
      </w:tr>
      <w:tr w:rsidR="00502D69" w14:paraId="399B4667" w14:textId="77777777" w:rsidTr="00345119">
        <w:tc>
          <w:tcPr>
            <w:tcW w:w="9576" w:type="dxa"/>
          </w:tcPr>
          <w:p w14:paraId="1588BBDA" w14:textId="057E3B35" w:rsidR="008423E4" w:rsidRPr="00861995" w:rsidRDefault="0029374A" w:rsidP="007D4D01">
            <w:pPr>
              <w:jc w:val="right"/>
            </w:pPr>
            <w:r>
              <w:t xml:space="preserve">By: </w:t>
            </w:r>
            <w:r w:rsidR="00D64071">
              <w:t>Harris Davila</w:t>
            </w:r>
          </w:p>
        </w:tc>
      </w:tr>
      <w:tr w:rsidR="00502D69" w14:paraId="3FC26587" w14:textId="77777777" w:rsidTr="00345119">
        <w:tc>
          <w:tcPr>
            <w:tcW w:w="9576" w:type="dxa"/>
          </w:tcPr>
          <w:p w14:paraId="14E8BDB4" w14:textId="44BCE588" w:rsidR="008423E4" w:rsidRPr="00861995" w:rsidRDefault="0029374A" w:rsidP="007D4D01">
            <w:pPr>
              <w:jc w:val="right"/>
            </w:pPr>
            <w:r>
              <w:t>State Affairs</w:t>
            </w:r>
          </w:p>
        </w:tc>
      </w:tr>
      <w:tr w:rsidR="00502D69" w14:paraId="4CED5154" w14:textId="77777777" w:rsidTr="00345119">
        <w:tc>
          <w:tcPr>
            <w:tcW w:w="9576" w:type="dxa"/>
          </w:tcPr>
          <w:p w14:paraId="1FBDBC4B" w14:textId="6F0376D8" w:rsidR="008423E4" w:rsidRDefault="0029374A" w:rsidP="007D4D01">
            <w:pPr>
              <w:jc w:val="right"/>
            </w:pPr>
            <w:r>
              <w:t>Committee Report (Unamended)</w:t>
            </w:r>
          </w:p>
        </w:tc>
      </w:tr>
    </w:tbl>
    <w:p w14:paraId="4755D350" w14:textId="77777777" w:rsidR="008423E4" w:rsidRDefault="008423E4" w:rsidP="007D4D01">
      <w:pPr>
        <w:tabs>
          <w:tab w:val="right" w:pos="9360"/>
        </w:tabs>
      </w:pPr>
    </w:p>
    <w:p w14:paraId="42988F0F" w14:textId="77777777" w:rsidR="008423E4" w:rsidRDefault="008423E4" w:rsidP="007D4D01"/>
    <w:p w14:paraId="71B51AF9" w14:textId="77777777" w:rsidR="008423E4" w:rsidRDefault="008423E4" w:rsidP="007D4D01"/>
    <w:tbl>
      <w:tblPr>
        <w:tblW w:w="0" w:type="auto"/>
        <w:tblCellMar>
          <w:left w:w="115" w:type="dxa"/>
          <w:right w:w="115" w:type="dxa"/>
        </w:tblCellMar>
        <w:tblLook w:val="01E0" w:firstRow="1" w:lastRow="1" w:firstColumn="1" w:lastColumn="1" w:noHBand="0" w:noVBand="0"/>
      </w:tblPr>
      <w:tblGrid>
        <w:gridCol w:w="9360"/>
      </w:tblGrid>
      <w:tr w:rsidR="00502D69" w14:paraId="302E8795" w14:textId="77777777" w:rsidTr="00345119">
        <w:tc>
          <w:tcPr>
            <w:tcW w:w="9576" w:type="dxa"/>
          </w:tcPr>
          <w:p w14:paraId="4BD8AB35" w14:textId="77777777" w:rsidR="008423E4" w:rsidRPr="00A8133F" w:rsidRDefault="0029374A" w:rsidP="007D4D01">
            <w:pPr>
              <w:rPr>
                <w:b/>
              </w:rPr>
            </w:pPr>
            <w:r w:rsidRPr="009C1E9A">
              <w:rPr>
                <w:b/>
                <w:u w:val="single"/>
              </w:rPr>
              <w:t>BACKGROUND AND PURPOSE</w:t>
            </w:r>
            <w:r>
              <w:rPr>
                <w:b/>
              </w:rPr>
              <w:t xml:space="preserve"> </w:t>
            </w:r>
          </w:p>
          <w:p w14:paraId="522CE7B2" w14:textId="77777777" w:rsidR="008423E4" w:rsidRDefault="008423E4" w:rsidP="007D4D01"/>
          <w:p w14:paraId="1FC17088" w14:textId="6588C0F6" w:rsidR="008423E4" w:rsidRDefault="0029374A" w:rsidP="007D4D01">
            <w:pPr>
              <w:pStyle w:val="Header"/>
              <w:tabs>
                <w:tab w:val="clear" w:pos="4320"/>
                <w:tab w:val="clear" w:pos="8640"/>
              </w:tabs>
              <w:jc w:val="both"/>
            </w:pPr>
            <w:r>
              <w:t>The bill author has informed the committee that</w:t>
            </w:r>
            <w:r w:rsidR="002C0396">
              <w:t xml:space="preserve"> new</w:t>
            </w:r>
            <w:r>
              <w:t xml:space="preserve"> b</w:t>
            </w:r>
            <w:r w:rsidR="0056494C" w:rsidRPr="0056494C">
              <w:t xml:space="preserve">usiness owners </w:t>
            </w:r>
            <w:r>
              <w:t>oftentimes must</w:t>
            </w:r>
            <w:r w:rsidR="0056494C" w:rsidRPr="0056494C">
              <w:t xml:space="preserve"> pay </w:t>
            </w:r>
            <w:r w:rsidR="00FD2DF3">
              <w:t>different fees</w:t>
            </w:r>
            <w:r w:rsidR="0056494C" w:rsidRPr="0056494C">
              <w:t xml:space="preserve"> </w:t>
            </w:r>
            <w:r>
              <w:t>in order to</w:t>
            </w:r>
            <w:r w:rsidR="0056494C" w:rsidRPr="0056494C">
              <w:t xml:space="preserve"> officially register</w:t>
            </w:r>
            <w:r>
              <w:t xml:space="preserve"> their business</w:t>
            </w:r>
            <w:r w:rsidR="0056494C" w:rsidRPr="0056494C">
              <w:t xml:space="preserve"> with the state</w:t>
            </w:r>
            <w:r>
              <w:t>, with</w:t>
            </w:r>
            <w:r w:rsidR="0056494C" w:rsidRPr="0056494C">
              <w:t xml:space="preserve"> </w:t>
            </w:r>
            <w:r>
              <w:t xml:space="preserve">the </w:t>
            </w:r>
            <w:r w:rsidR="0056494C" w:rsidRPr="0056494C">
              <w:t>fees rang</w:t>
            </w:r>
            <w:r>
              <w:t>ing</w:t>
            </w:r>
            <w:r w:rsidR="0056494C" w:rsidRPr="0056494C">
              <w:t xml:space="preserve"> in price and </w:t>
            </w:r>
            <w:r>
              <w:t>quickly</w:t>
            </w:r>
            <w:r w:rsidR="0056494C" w:rsidRPr="0056494C">
              <w:t xml:space="preserve"> add</w:t>
            </w:r>
            <w:r>
              <w:t>ing</w:t>
            </w:r>
            <w:r w:rsidR="0056494C" w:rsidRPr="0056494C">
              <w:t xml:space="preserve"> up to </w:t>
            </w:r>
            <w:r w:rsidR="001027D4">
              <w:t>sizeable</w:t>
            </w:r>
            <w:r w:rsidR="0056494C" w:rsidRPr="0056494C">
              <w:t xml:space="preserve"> sum</w:t>
            </w:r>
            <w:r w:rsidR="001027D4">
              <w:t>s</w:t>
            </w:r>
            <w:r w:rsidR="0056494C" w:rsidRPr="0056494C">
              <w:t xml:space="preserve">. For a new business, this </w:t>
            </w:r>
            <w:r>
              <w:t>registration process can</w:t>
            </w:r>
            <w:r w:rsidR="0056494C" w:rsidRPr="0056494C">
              <w:t xml:space="preserve"> be burdensome and take resources away from start</w:t>
            </w:r>
            <w:r w:rsidR="00EF48B2">
              <w:t>-</w:t>
            </w:r>
            <w:r w:rsidR="0056494C" w:rsidRPr="0056494C">
              <w:t xml:space="preserve">up operations. </w:t>
            </w:r>
            <w:r>
              <w:t>The bill author has f</w:t>
            </w:r>
            <w:r w:rsidR="0056494C" w:rsidRPr="0056494C">
              <w:t>urther</w:t>
            </w:r>
            <w:r>
              <w:t xml:space="preserve"> informed the committee that</w:t>
            </w:r>
            <w:r w:rsidR="0056494C" w:rsidRPr="0056494C">
              <w:t xml:space="preserve"> these expenses can be a barrier of entry, especially for small businesses with limited capital</w:t>
            </w:r>
            <w:r w:rsidR="001027D4">
              <w:t>, and that given the reputation</w:t>
            </w:r>
            <w:r w:rsidR="0056494C" w:rsidRPr="0056494C">
              <w:t xml:space="preserve"> Texas has for being a business-friendly state, </w:t>
            </w:r>
            <w:r w:rsidR="001027D4">
              <w:t xml:space="preserve">entrepreneurship should not be hindered </w:t>
            </w:r>
            <w:r w:rsidR="000128B7">
              <w:t>by</w:t>
            </w:r>
            <w:r w:rsidR="001027D4">
              <w:t xml:space="preserve"> unnecessary</w:t>
            </w:r>
            <w:r w:rsidR="0056494C" w:rsidRPr="0056494C">
              <w:t xml:space="preserve"> regulations and fees.</w:t>
            </w:r>
            <w:r w:rsidR="0056494C">
              <w:t xml:space="preserve"> </w:t>
            </w:r>
            <w:r w:rsidR="00FD2DF3">
              <w:t>H.B. 346 seeks to address this issue by</w:t>
            </w:r>
            <w:r w:rsidR="0056494C" w:rsidRPr="0056494C">
              <w:t xml:space="preserve"> requir</w:t>
            </w:r>
            <w:r w:rsidR="00FD2DF3">
              <w:t>ing</w:t>
            </w:r>
            <w:r w:rsidR="0056494C" w:rsidRPr="0056494C">
              <w:t xml:space="preserve"> the </w:t>
            </w:r>
            <w:r w:rsidR="00FD2DF3">
              <w:t>s</w:t>
            </w:r>
            <w:r w:rsidR="0056494C" w:rsidRPr="0056494C">
              <w:t xml:space="preserve">ecretary of </w:t>
            </w:r>
            <w:r w:rsidR="00FD2DF3">
              <w:t>s</w:t>
            </w:r>
            <w:r w:rsidR="0056494C" w:rsidRPr="0056494C">
              <w:t>tate to work with state and local government</w:t>
            </w:r>
            <w:r w:rsidR="008D1F68">
              <w:t>al</w:t>
            </w:r>
            <w:r w:rsidR="0056494C" w:rsidRPr="0056494C">
              <w:t xml:space="preserve"> entities to eliminate fees related to licensing and regulation of businesses in their first year of operation.</w:t>
            </w:r>
          </w:p>
          <w:p w14:paraId="5B06D537" w14:textId="77777777" w:rsidR="008423E4" w:rsidRPr="00E26B13" w:rsidRDefault="008423E4" w:rsidP="007D4D01">
            <w:pPr>
              <w:rPr>
                <w:b/>
              </w:rPr>
            </w:pPr>
          </w:p>
        </w:tc>
      </w:tr>
      <w:tr w:rsidR="00502D69" w14:paraId="408983FD" w14:textId="77777777" w:rsidTr="00345119">
        <w:tc>
          <w:tcPr>
            <w:tcW w:w="9576" w:type="dxa"/>
          </w:tcPr>
          <w:p w14:paraId="0414287D" w14:textId="77777777" w:rsidR="0017725B" w:rsidRDefault="0029374A" w:rsidP="007D4D01">
            <w:pPr>
              <w:rPr>
                <w:b/>
                <w:u w:val="single"/>
              </w:rPr>
            </w:pPr>
            <w:r>
              <w:rPr>
                <w:b/>
                <w:u w:val="single"/>
              </w:rPr>
              <w:t>CRIMINAL JUSTICE IMPACT</w:t>
            </w:r>
          </w:p>
          <w:p w14:paraId="1461F038" w14:textId="77777777" w:rsidR="0017725B" w:rsidRDefault="0017725B" w:rsidP="007D4D01">
            <w:pPr>
              <w:rPr>
                <w:b/>
                <w:u w:val="single"/>
              </w:rPr>
            </w:pPr>
          </w:p>
          <w:p w14:paraId="4A747677" w14:textId="70F1A1D2" w:rsidR="00310070" w:rsidRPr="00310070" w:rsidRDefault="0029374A" w:rsidP="007D4D01">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5E72BD5" w14:textId="77777777" w:rsidR="0017725B" w:rsidRPr="0017725B" w:rsidRDefault="0017725B" w:rsidP="007D4D01">
            <w:pPr>
              <w:rPr>
                <w:b/>
                <w:u w:val="single"/>
              </w:rPr>
            </w:pPr>
          </w:p>
        </w:tc>
      </w:tr>
      <w:tr w:rsidR="00502D69" w14:paraId="24C63834" w14:textId="77777777" w:rsidTr="00345119">
        <w:tc>
          <w:tcPr>
            <w:tcW w:w="9576" w:type="dxa"/>
          </w:tcPr>
          <w:p w14:paraId="76995341" w14:textId="77777777" w:rsidR="008423E4" w:rsidRPr="00A8133F" w:rsidRDefault="0029374A" w:rsidP="007D4D01">
            <w:pPr>
              <w:rPr>
                <w:b/>
              </w:rPr>
            </w:pPr>
            <w:r w:rsidRPr="009C1E9A">
              <w:rPr>
                <w:b/>
                <w:u w:val="single"/>
              </w:rPr>
              <w:t>RULEMAKING AUTHORITY</w:t>
            </w:r>
            <w:r>
              <w:rPr>
                <w:b/>
              </w:rPr>
              <w:t xml:space="preserve"> </w:t>
            </w:r>
          </w:p>
          <w:p w14:paraId="731BD65A" w14:textId="77777777" w:rsidR="008423E4" w:rsidRDefault="008423E4" w:rsidP="007D4D01"/>
          <w:p w14:paraId="7086B4FD" w14:textId="7ADA36F5" w:rsidR="00310070" w:rsidRDefault="0029374A" w:rsidP="007D4D0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8886CE3" w14:textId="77777777" w:rsidR="008423E4" w:rsidRPr="00E21FDC" w:rsidRDefault="008423E4" w:rsidP="007D4D01">
            <w:pPr>
              <w:rPr>
                <w:b/>
              </w:rPr>
            </w:pPr>
          </w:p>
        </w:tc>
      </w:tr>
      <w:tr w:rsidR="00502D69" w14:paraId="77BE6D7E" w14:textId="77777777" w:rsidTr="00345119">
        <w:tc>
          <w:tcPr>
            <w:tcW w:w="9576" w:type="dxa"/>
          </w:tcPr>
          <w:p w14:paraId="6366E08E" w14:textId="77777777" w:rsidR="008423E4" w:rsidRPr="00A8133F" w:rsidRDefault="0029374A" w:rsidP="007D4D01">
            <w:pPr>
              <w:rPr>
                <w:b/>
              </w:rPr>
            </w:pPr>
            <w:r w:rsidRPr="009C1E9A">
              <w:rPr>
                <w:b/>
                <w:u w:val="single"/>
              </w:rPr>
              <w:t>ANALYSIS</w:t>
            </w:r>
            <w:r>
              <w:rPr>
                <w:b/>
              </w:rPr>
              <w:t xml:space="preserve"> </w:t>
            </w:r>
          </w:p>
          <w:p w14:paraId="7CC1943B" w14:textId="77777777" w:rsidR="008423E4" w:rsidRDefault="008423E4" w:rsidP="007D4D01"/>
          <w:p w14:paraId="4B2524B8" w14:textId="63B96E1D" w:rsidR="006369B4" w:rsidRDefault="0029374A" w:rsidP="007D4D01">
            <w:pPr>
              <w:pStyle w:val="Header"/>
              <w:jc w:val="both"/>
            </w:pPr>
            <w:r>
              <w:t>H.B. 346 amends the Government Code to require t</w:t>
            </w:r>
            <w:r w:rsidRPr="00C370C5">
              <w:t xml:space="preserve">he secretary of state, in coordination with appropriate state and local governmental entities, </w:t>
            </w:r>
            <w:r>
              <w:t xml:space="preserve">to </w:t>
            </w:r>
            <w:r w:rsidRPr="00C370C5">
              <w:t>work to eliminate all fees relating to licensing and registration required to be paid by a business entity in the entity's first year of business, to the extent authorized by law.</w:t>
            </w:r>
            <w:r>
              <w:t xml:space="preserve"> The bill requires the </w:t>
            </w:r>
            <w:r w:rsidRPr="00C370C5">
              <w:t>Texas Economic Development and Tourism Office</w:t>
            </w:r>
            <w:r w:rsidR="004F3A88">
              <w:t xml:space="preserve"> (TEDTO)</w:t>
            </w:r>
            <w:r>
              <w:t xml:space="preserve">, to the extent possible, to encourage the appropriate state entities to allocate at least five percent of funding budgeted for economic development programs, </w:t>
            </w:r>
            <w:r>
              <w:t xml:space="preserve">including community development block grants, to support businesses that were established within the previous five years and have a principal place of business in Texas. </w:t>
            </w:r>
          </w:p>
          <w:p w14:paraId="41C67DCC" w14:textId="77777777" w:rsidR="006369B4" w:rsidRDefault="006369B4" w:rsidP="007D4D01">
            <w:pPr>
              <w:pStyle w:val="Header"/>
              <w:jc w:val="both"/>
            </w:pPr>
          </w:p>
          <w:p w14:paraId="506C03C6" w14:textId="03A96E98" w:rsidR="006369B4" w:rsidRDefault="0029374A" w:rsidP="007D4D01">
            <w:pPr>
              <w:pStyle w:val="Header"/>
              <w:jc w:val="both"/>
            </w:pPr>
            <w:r>
              <w:t xml:space="preserve">H.B. 346 requires the </w:t>
            </w:r>
            <w:r w:rsidRPr="006369B4">
              <w:t xml:space="preserve">comptroller </w:t>
            </w:r>
            <w:r>
              <w:t>of public accounts to</w:t>
            </w:r>
            <w:r w:rsidRPr="006369B4">
              <w:t xml:space="preserve"> make reasonable efforts to increase the number of contracts for the purchase of goods or services awarded by state agencies to new businesses to at least five percent of awarded contracts in a state fiscal year.</w:t>
            </w:r>
            <w:r>
              <w:t xml:space="preserve"> The bill requires the comptroller, not later than September 1 of each year, to file a report with the legislature that identifies the following</w:t>
            </w:r>
            <w:r w:rsidR="00F37774">
              <w:t xml:space="preserve"> </w:t>
            </w:r>
            <w:r w:rsidR="00755AE9">
              <w:t xml:space="preserve">information </w:t>
            </w:r>
            <w:r w:rsidR="00F37774">
              <w:t>concerning state contracts awarded to new businesses during the previous year</w:t>
            </w:r>
            <w:r>
              <w:t>:</w:t>
            </w:r>
          </w:p>
          <w:p w14:paraId="17481C27" w14:textId="092398DB" w:rsidR="006369B4" w:rsidRDefault="0029374A" w:rsidP="007D4D01">
            <w:pPr>
              <w:pStyle w:val="Header"/>
              <w:numPr>
                <w:ilvl w:val="0"/>
                <w:numId w:val="1"/>
              </w:numPr>
              <w:ind w:left="720"/>
              <w:jc w:val="both"/>
            </w:pPr>
            <w:r>
              <w:t xml:space="preserve">the number </w:t>
            </w:r>
            <w:r w:rsidRPr="007D7D86">
              <w:t xml:space="preserve">of </w:t>
            </w:r>
            <w:r w:rsidR="007D7D86">
              <w:t>such</w:t>
            </w:r>
            <w:r w:rsidR="0048229E" w:rsidRPr="00C60CAB">
              <w:t xml:space="preserve"> </w:t>
            </w:r>
            <w:r w:rsidRPr="007D7D86">
              <w:t>contracts</w:t>
            </w:r>
            <w:r>
              <w:t xml:space="preserve"> awarded; </w:t>
            </w:r>
          </w:p>
          <w:p w14:paraId="19CE069E" w14:textId="77A68905" w:rsidR="006369B4" w:rsidRDefault="0029374A" w:rsidP="007D4D01">
            <w:pPr>
              <w:pStyle w:val="Header"/>
              <w:numPr>
                <w:ilvl w:val="0"/>
                <w:numId w:val="1"/>
              </w:numPr>
              <w:ind w:left="720"/>
              <w:jc w:val="both"/>
            </w:pPr>
            <w:r>
              <w:t xml:space="preserve">the dollar value of all </w:t>
            </w:r>
            <w:r w:rsidR="007D7D86">
              <w:t>such</w:t>
            </w:r>
            <w:r w:rsidR="007D7D86" w:rsidRPr="007D7D86">
              <w:t xml:space="preserve"> </w:t>
            </w:r>
            <w:r w:rsidRPr="007D7D86">
              <w:t>contracts</w:t>
            </w:r>
            <w:r>
              <w:t xml:space="preserve">; </w:t>
            </w:r>
          </w:p>
          <w:p w14:paraId="34C4B9D3" w14:textId="4AE3870B" w:rsidR="006369B4" w:rsidRDefault="0029374A" w:rsidP="007D4D01">
            <w:pPr>
              <w:pStyle w:val="Header"/>
              <w:numPr>
                <w:ilvl w:val="0"/>
                <w:numId w:val="1"/>
              </w:numPr>
              <w:ind w:left="720"/>
              <w:jc w:val="both"/>
            </w:pPr>
            <w:r>
              <w:t xml:space="preserve">the number of </w:t>
            </w:r>
            <w:r w:rsidR="007D7D86">
              <w:t xml:space="preserve">such </w:t>
            </w:r>
            <w:r>
              <w:t xml:space="preserve">contracts awarded to new businesses that qualify as a historically underutilized business, as defined by </w:t>
            </w:r>
            <w:r w:rsidR="00F37774">
              <w:t>applicable state law</w:t>
            </w:r>
            <w:r>
              <w:t xml:space="preserve">; </w:t>
            </w:r>
          </w:p>
          <w:p w14:paraId="263695F3" w14:textId="538CCE2D" w:rsidR="00F37774" w:rsidRDefault="0029374A" w:rsidP="007D4D01">
            <w:pPr>
              <w:pStyle w:val="Header"/>
              <w:numPr>
                <w:ilvl w:val="0"/>
                <w:numId w:val="1"/>
              </w:numPr>
              <w:ind w:left="720"/>
              <w:jc w:val="both"/>
            </w:pPr>
            <w:r>
              <w:t xml:space="preserve">the geographic area of </w:t>
            </w:r>
            <w:r w:rsidR="00491AC6">
              <w:t>Texas</w:t>
            </w:r>
            <w:r>
              <w:t xml:space="preserve">, including the city and county, where each </w:t>
            </w:r>
            <w:r w:rsidR="00491AC6">
              <w:t>applicable</w:t>
            </w:r>
            <w:r>
              <w:t xml:space="preserve"> busines</w:t>
            </w:r>
            <w:r w:rsidR="00491AC6">
              <w:t>s</w:t>
            </w:r>
            <w:r>
              <w:t xml:space="preserve"> is located; </w:t>
            </w:r>
          </w:p>
          <w:p w14:paraId="440524C2" w14:textId="15C07F26" w:rsidR="006369B4" w:rsidRDefault="0029374A" w:rsidP="007D4D01">
            <w:pPr>
              <w:pStyle w:val="Header"/>
              <w:numPr>
                <w:ilvl w:val="0"/>
                <w:numId w:val="1"/>
              </w:numPr>
              <w:ind w:left="720"/>
              <w:jc w:val="both"/>
            </w:pPr>
            <w:r>
              <w:t xml:space="preserve">the percentage of </w:t>
            </w:r>
            <w:r w:rsidR="00D35F3E">
              <w:t xml:space="preserve">all </w:t>
            </w:r>
            <w:r w:rsidR="007D7D86">
              <w:t xml:space="preserve">such </w:t>
            </w:r>
            <w:r>
              <w:t xml:space="preserve">contracts; and </w:t>
            </w:r>
          </w:p>
          <w:p w14:paraId="296083CF" w14:textId="14DA9998" w:rsidR="009C36CD" w:rsidRDefault="0029374A" w:rsidP="007D4D01">
            <w:pPr>
              <w:pStyle w:val="Header"/>
              <w:numPr>
                <w:ilvl w:val="0"/>
                <w:numId w:val="1"/>
              </w:numPr>
              <w:ind w:left="720"/>
              <w:jc w:val="both"/>
            </w:pPr>
            <w:r>
              <w:t xml:space="preserve">the percentage of the total dollar value of all </w:t>
            </w:r>
            <w:r w:rsidR="007D7D86">
              <w:t>such</w:t>
            </w:r>
            <w:r>
              <w:t xml:space="preserve"> contract</w:t>
            </w:r>
            <w:r w:rsidR="0021391A">
              <w:t>s</w:t>
            </w:r>
            <w:r>
              <w:t>.</w:t>
            </w:r>
          </w:p>
          <w:p w14:paraId="19ABB462" w14:textId="5147CA4B" w:rsidR="0021391A" w:rsidRDefault="0029374A" w:rsidP="007D4D01">
            <w:pPr>
              <w:pStyle w:val="Header"/>
              <w:jc w:val="both"/>
            </w:pPr>
            <w:r>
              <w:t>The bill requires the comptroller to prepare and submit the first annual report n</w:t>
            </w:r>
            <w:r w:rsidRPr="00133B26">
              <w:t>ot later than September 1, 2026</w:t>
            </w:r>
            <w:r>
              <w:t>. In a provision expiring January 1, 2027, the bill require</w:t>
            </w:r>
            <w:r w:rsidRPr="0021391A">
              <w:t xml:space="preserve">s the comptroller, in conjunction with </w:t>
            </w:r>
            <w:r>
              <w:t xml:space="preserve">TEDTO and as </w:t>
            </w:r>
            <w:r w:rsidRPr="0021391A">
              <w:t xml:space="preserve">part of </w:t>
            </w:r>
            <w:r w:rsidRPr="00D35F3E">
              <w:t>th</w:t>
            </w:r>
            <w:r w:rsidR="00D35F3E">
              <w:t>at first</w:t>
            </w:r>
            <w:r w:rsidRPr="00D35F3E">
              <w:t xml:space="preserve"> report</w:t>
            </w:r>
            <w:r w:rsidRPr="0021391A">
              <w:t xml:space="preserve">, </w:t>
            </w:r>
            <w:r w:rsidR="00455466">
              <w:t>to</w:t>
            </w:r>
            <w:r w:rsidRPr="0021391A">
              <w:t xml:space="preserve"> make recommendations to improve access by new businesses to state contracting, including new businesses owned by statistically underrepresented demographic groups and in statistically underrepresented geographic areas of </w:t>
            </w:r>
            <w:r w:rsidR="00455466">
              <w:t>Texas</w:t>
            </w:r>
            <w:r w:rsidRPr="0021391A">
              <w:t xml:space="preserve">. </w:t>
            </w:r>
            <w:r w:rsidR="00455466">
              <w:t xml:space="preserve">The bill defines </w:t>
            </w:r>
            <w:r w:rsidR="00455466" w:rsidRPr="00455466">
              <w:t>"new business"</w:t>
            </w:r>
            <w:r w:rsidR="00455466">
              <w:t xml:space="preserve"> for purposes of </w:t>
            </w:r>
            <w:r w:rsidR="00455466" w:rsidRPr="00D35F3E">
              <w:t>these provisions</w:t>
            </w:r>
            <w:r w:rsidR="00455466" w:rsidRPr="00455466">
              <w:t xml:space="preserve"> as a business in operation for less than five years with its principal place of business in </w:t>
            </w:r>
            <w:r w:rsidR="00455466">
              <w:t>Texas</w:t>
            </w:r>
            <w:r w:rsidR="00310070">
              <w:t>.</w:t>
            </w:r>
          </w:p>
          <w:p w14:paraId="5DBEBC4F" w14:textId="77777777" w:rsidR="00455466" w:rsidRDefault="00455466" w:rsidP="007D4D01">
            <w:pPr>
              <w:pStyle w:val="Header"/>
              <w:jc w:val="both"/>
            </w:pPr>
          </w:p>
          <w:p w14:paraId="2255503F" w14:textId="07EED0F9" w:rsidR="00365D2C" w:rsidRDefault="0029374A" w:rsidP="007D4D01">
            <w:pPr>
              <w:pStyle w:val="Header"/>
              <w:jc w:val="both"/>
            </w:pPr>
            <w:r>
              <w:t>H.B. 346 amends the Labor Code to require the Texas Workforce Commission</w:t>
            </w:r>
            <w:r w:rsidR="001B22DB">
              <w:t xml:space="preserve"> (TWC)</w:t>
            </w:r>
            <w:r>
              <w:t xml:space="preserve">, not later than September 1 each year, to submit a report to the legislature on economic development in </w:t>
            </w:r>
            <w:r w:rsidR="004F3A88">
              <w:t>Texas</w:t>
            </w:r>
            <w:r>
              <w:t>. The report must include the following</w:t>
            </w:r>
            <w:r w:rsidR="004F3A88">
              <w:t xml:space="preserve"> information</w:t>
            </w:r>
            <w:r>
              <w:t xml:space="preserve">: </w:t>
            </w:r>
          </w:p>
          <w:p w14:paraId="0FF6A685" w14:textId="4C4F8BD1" w:rsidR="00CD3B9A" w:rsidRDefault="0029374A" w:rsidP="007D4D01">
            <w:pPr>
              <w:pStyle w:val="Header"/>
              <w:numPr>
                <w:ilvl w:val="0"/>
                <w:numId w:val="2"/>
              </w:numPr>
              <w:jc w:val="both"/>
            </w:pPr>
            <w:r>
              <w:t xml:space="preserve">the proportion of </w:t>
            </w:r>
            <w:r>
              <w:t xml:space="preserve">economic development funding, including community development block grants, that supports programs for an individual who started a new business within the preceding five years or organizations that provide services to such individuals; and </w:t>
            </w:r>
          </w:p>
          <w:p w14:paraId="5125397F" w14:textId="5DEA0BB5" w:rsidR="00455466" w:rsidRDefault="0029374A" w:rsidP="007D4D01">
            <w:pPr>
              <w:pStyle w:val="Header"/>
              <w:numPr>
                <w:ilvl w:val="0"/>
                <w:numId w:val="2"/>
              </w:numPr>
              <w:jc w:val="both"/>
            </w:pPr>
            <w:r>
              <w:t>the total amount of economic development funding provided to</w:t>
            </w:r>
            <w:r w:rsidR="00CD3B9A">
              <w:t xml:space="preserve"> </w:t>
            </w:r>
            <w:r w:rsidR="008A1700">
              <w:t xml:space="preserve">those </w:t>
            </w:r>
            <w:r>
              <w:t>programs.</w:t>
            </w:r>
          </w:p>
          <w:p w14:paraId="276773F8" w14:textId="699A3D65" w:rsidR="001B22DB" w:rsidRDefault="0029374A" w:rsidP="007D4D01">
            <w:pPr>
              <w:pStyle w:val="Header"/>
              <w:jc w:val="both"/>
            </w:pPr>
            <w:r>
              <w:t xml:space="preserve">The bill </w:t>
            </w:r>
            <w:r w:rsidR="0052028B">
              <w:t xml:space="preserve">also </w:t>
            </w:r>
            <w:r>
              <w:t>requires TWC, not later than September 1 of each year, to prepare and submit to the legislature a report on workforce development funding. Th</w:t>
            </w:r>
            <w:r w:rsidR="0052028B">
              <w:t>is</w:t>
            </w:r>
            <w:r>
              <w:t xml:space="preserve"> report must include information on the total amount of funding allocated by </w:t>
            </w:r>
            <w:r w:rsidR="00D35F3E">
              <w:t xml:space="preserve">TWC's </w:t>
            </w:r>
            <w:r w:rsidRPr="00D35F3E">
              <w:t xml:space="preserve">division of workforce development </w:t>
            </w:r>
            <w:r>
              <w:t xml:space="preserve">and any local workforce development boards, and the percentage of all workforce development funding that total represents, to support organizations, services, and programs for individuals starting a new business and </w:t>
            </w:r>
            <w:r w:rsidR="008A1700">
              <w:t xml:space="preserve">for </w:t>
            </w:r>
            <w:r>
              <w:t>businesses established in t</w:t>
            </w:r>
            <w:r>
              <w:t xml:space="preserve">he preceding five years whose primary place of business is in </w:t>
            </w:r>
            <w:r w:rsidR="00133B26">
              <w:t>Texas.</w:t>
            </w:r>
            <w:r w:rsidR="00310070">
              <w:t xml:space="preserve"> </w:t>
            </w:r>
            <w:r w:rsidR="00310070" w:rsidRPr="0052028B">
              <w:t>The bill requires TWC</w:t>
            </w:r>
            <w:r w:rsidR="00D35F3E">
              <w:t xml:space="preserve"> to submit the first economic development report and the first workforce development funding report</w:t>
            </w:r>
            <w:r w:rsidR="00310070" w:rsidRPr="0052028B">
              <w:t xml:space="preserve"> not later than September 1, 2026.</w:t>
            </w:r>
          </w:p>
          <w:p w14:paraId="401895AF" w14:textId="77777777" w:rsidR="00133B26" w:rsidRDefault="00133B26" w:rsidP="007D4D01">
            <w:pPr>
              <w:pStyle w:val="Header"/>
              <w:jc w:val="both"/>
            </w:pPr>
          </w:p>
          <w:p w14:paraId="6909FCB4" w14:textId="7281141B" w:rsidR="00133B26" w:rsidRPr="009C36CD" w:rsidRDefault="0029374A" w:rsidP="007D4D01">
            <w:pPr>
              <w:pStyle w:val="Header"/>
              <w:jc w:val="both"/>
            </w:pPr>
            <w:r>
              <w:t xml:space="preserve">H.B. 346 requires TWC, unless </w:t>
            </w:r>
            <w:r w:rsidRPr="00133B26">
              <w:t>superseded by federal law</w:t>
            </w:r>
            <w:r>
              <w:t xml:space="preserve">, to </w:t>
            </w:r>
            <w:r w:rsidRPr="00133B26">
              <w:t xml:space="preserve">make reasonable efforts to ensure that at least five percent of workforce development funds allocated by </w:t>
            </w:r>
            <w:r w:rsidR="008A1700">
              <w:t>TWC</w:t>
            </w:r>
            <w:r w:rsidRPr="00133B26">
              <w:t xml:space="preserve"> in a state fiscal year, including any funds distributed by local workforce development boards, are used to support programs or organizations that provide support to</w:t>
            </w:r>
            <w:r>
              <w:t xml:space="preserve"> persons establishing a business in  Texas or </w:t>
            </w:r>
            <w:r w:rsidR="008A1700">
              <w:t xml:space="preserve">to </w:t>
            </w:r>
            <w:r>
              <w:t>businesses that have been in operation for less than five years and have their principal place of business in Texas.</w:t>
            </w:r>
          </w:p>
          <w:p w14:paraId="76AD7716" w14:textId="77777777" w:rsidR="008423E4" w:rsidRPr="00835628" w:rsidRDefault="008423E4" w:rsidP="007D4D01">
            <w:pPr>
              <w:rPr>
                <w:b/>
              </w:rPr>
            </w:pPr>
          </w:p>
        </w:tc>
      </w:tr>
      <w:tr w:rsidR="00502D69" w14:paraId="3C4C8196" w14:textId="77777777" w:rsidTr="00345119">
        <w:tc>
          <w:tcPr>
            <w:tcW w:w="9576" w:type="dxa"/>
          </w:tcPr>
          <w:p w14:paraId="5F7B6731" w14:textId="77777777" w:rsidR="008423E4" w:rsidRPr="00A8133F" w:rsidRDefault="0029374A" w:rsidP="007D4D01">
            <w:pPr>
              <w:rPr>
                <w:b/>
              </w:rPr>
            </w:pPr>
            <w:r w:rsidRPr="009C1E9A">
              <w:rPr>
                <w:b/>
                <w:u w:val="single"/>
              </w:rPr>
              <w:t>EFFECTIVE DATE</w:t>
            </w:r>
            <w:r>
              <w:rPr>
                <w:b/>
              </w:rPr>
              <w:t xml:space="preserve"> </w:t>
            </w:r>
          </w:p>
          <w:p w14:paraId="1C32BCB6" w14:textId="77777777" w:rsidR="008423E4" w:rsidRDefault="008423E4" w:rsidP="007D4D01"/>
          <w:p w14:paraId="617E59E6" w14:textId="207B4852" w:rsidR="008423E4" w:rsidRPr="003624F2" w:rsidRDefault="0029374A" w:rsidP="007D4D01">
            <w:pPr>
              <w:pStyle w:val="Header"/>
              <w:tabs>
                <w:tab w:val="clear" w:pos="4320"/>
                <w:tab w:val="clear" w:pos="8640"/>
              </w:tabs>
              <w:jc w:val="both"/>
            </w:pPr>
            <w:r>
              <w:t>September 1, 2025.</w:t>
            </w:r>
          </w:p>
          <w:p w14:paraId="474BA6D8" w14:textId="77777777" w:rsidR="008423E4" w:rsidRPr="00233FDB" w:rsidRDefault="008423E4" w:rsidP="007D4D01">
            <w:pPr>
              <w:rPr>
                <w:b/>
              </w:rPr>
            </w:pPr>
          </w:p>
        </w:tc>
      </w:tr>
    </w:tbl>
    <w:p w14:paraId="5E143E84" w14:textId="77777777" w:rsidR="008423E4" w:rsidRPr="00BE0E75" w:rsidRDefault="008423E4" w:rsidP="007D4D01">
      <w:pPr>
        <w:jc w:val="both"/>
        <w:rPr>
          <w:rFonts w:ascii="Arial" w:hAnsi="Arial"/>
          <w:sz w:val="16"/>
          <w:szCs w:val="16"/>
        </w:rPr>
      </w:pPr>
    </w:p>
    <w:p w14:paraId="49AF44CA" w14:textId="77777777" w:rsidR="004108C3" w:rsidRPr="008423E4" w:rsidRDefault="004108C3" w:rsidP="007D4D0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89EB" w14:textId="77777777" w:rsidR="0029374A" w:rsidRDefault="0029374A">
      <w:r>
        <w:separator/>
      </w:r>
    </w:p>
  </w:endnote>
  <w:endnote w:type="continuationSeparator" w:id="0">
    <w:p w14:paraId="1788AEF4" w14:textId="77777777" w:rsidR="0029374A" w:rsidRDefault="002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51A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02D69" w14:paraId="6270BA99" w14:textId="77777777" w:rsidTr="009C1E9A">
      <w:trPr>
        <w:cantSplit/>
      </w:trPr>
      <w:tc>
        <w:tcPr>
          <w:tcW w:w="0" w:type="pct"/>
        </w:tcPr>
        <w:p w14:paraId="53EBDA4C" w14:textId="77777777" w:rsidR="00137D90" w:rsidRDefault="00137D90" w:rsidP="009C1E9A">
          <w:pPr>
            <w:pStyle w:val="Footer"/>
            <w:tabs>
              <w:tab w:val="clear" w:pos="8640"/>
              <w:tab w:val="right" w:pos="9360"/>
            </w:tabs>
          </w:pPr>
        </w:p>
      </w:tc>
      <w:tc>
        <w:tcPr>
          <w:tcW w:w="2395" w:type="pct"/>
        </w:tcPr>
        <w:p w14:paraId="1A2286FA" w14:textId="77777777" w:rsidR="00137D90" w:rsidRDefault="00137D90" w:rsidP="009C1E9A">
          <w:pPr>
            <w:pStyle w:val="Footer"/>
            <w:tabs>
              <w:tab w:val="clear" w:pos="8640"/>
              <w:tab w:val="right" w:pos="9360"/>
            </w:tabs>
          </w:pPr>
        </w:p>
        <w:p w14:paraId="39A0F7D7" w14:textId="77777777" w:rsidR="001A4310" w:rsidRDefault="001A4310" w:rsidP="009C1E9A">
          <w:pPr>
            <w:pStyle w:val="Footer"/>
            <w:tabs>
              <w:tab w:val="clear" w:pos="8640"/>
              <w:tab w:val="right" w:pos="9360"/>
            </w:tabs>
          </w:pPr>
        </w:p>
        <w:p w14:paraId="6F50D6D5" w14:textId="77777777" w:rsidR="00137D90" w:rsidRDefault="00137D90" w:rsidP="009C1E9A">
          <w:pPr>
            <w:pStyle w:val="Footer"/>
            <w:tabs>
              <w:tab w:val="clear" w:pos="8640"/>
              <w:tab w:val="right" w:pos="9360"/>
            </w:tabs>
          </w:pPr>
        </w:p>
      </w:tc>
      <w:tc>
        <w:tcPr>
          <w:tcW w:w="2453" w:type="pct"/>
        </w:tcPr>
        <w:p w14:paraId="0B4EA085" w14:textId="77777777" w:rsidR="00137D90" w:rsidRDefault="00137D90" w:rsidP="009C1E9A">
          <w:pPr>
            <w:pStyle w:val="Footer"/>
            <w:tabs>
              <w:tab w:val="clear" w:pos="8640"/>
              <w:tab w:val="right" w:pos="9360"/>
            </w:tabs>
            <w:jc w:val="right"/>
          </w:pPr>
        </w:p>
      </w:tc>
    </w:tr>
    <w:tr w:rsidR="00502D69" w14:paraId="06EA6F02" w14:textId="77777777" w:rsidTr="009C1E9A">
      <w:trPr>
        <w:cantSplit/>
      </w:trPr>
      <w:tc>
        <w:tcPr>
          <w:tcW w:w="0" w:type="pct"/>
        </w:tcPr>
        <w:p w14:paraId="19B366D6" w14:textId="77777777" w:rsidR="00EC379B" w:rsidRDefault="00EC379B" w:rsidP="009C1E9A">
          <w:pPr>
            <w:pStyle w:val="Footer"/>
            <w:tabs>
              <w:tab w:val="clear" w:pos="8640"/>
              <w:tab w:val="right" w:pos="9360"/>
            </w:tabs>
          </w:pPr>
        </w:p>
      </w:tc>
      <w:tc>
        <w:tcPr>
          <w:tcW w:w="2395" w:type="pct"/>
        </w:tcPr>
        <w:p w14:paraId="127CDEC3" w14:textId="0C7E0EA3" w:rsidR="00EC379B" w:rsidRPr="009C1E9A" w:rsidRDefault="0029374A" w:rsidP="009C1E9A">
          <w:pPr>
            <w:pStyle w:val="Footer"/>
            <w:tabs>
              <w:tab w:val="clear" w:pos="8640"/>
              <w:tab w:val="right" w:pos="9360"/>
            </w:tabs>
            <w:rPr>
              <w:rFonts w:ascii="Shruti" w:hAnsi="Shruti"/>
              <w:sz w:val="22"/>
            </w:rPr>
          </w:pPr>
          <w:r>
            <w:rPr>
              <w:rFonts w:ascii="Shruti" w:hAnsi="Shruti"/>
              <w:sz w:val="22"/>
            </w:rPr>
            <w:t>89R 24406-D</w:t>
          </w:r>
        </w:p>
      </w:tc>
      <w:tc>
        <w:tcPr>
          <w:tcW w:w="2453" w:type="pct"/>
        </w:tcPr>
        <w:p w14:paraId="5B7A8919" w14:textId="62FC72A8" w:rsidR="00EC379B" w:rsidRDefault="0029374A" w:rsidP="009C1E9A">
          <w:pPr>
            <w:pStyle w:val="Footer"/>
            <w:tabs>
              <w:tab w:val="clear" w:pos="8640"/>
              <w:tab w:val="right" w:pos="9360"/>
            </w:tabs>
            <w:jc w:val="right"/>
          </w:pPr>
          <w:r>
            <w:fldChar w:fldCharType="begin"/>
          </w:r>
          <w:r>
            <w:instrText xml:space="preserve"> DOCPROPERTY  OTID  \* MERGEFORMAT </w:instrText>
          </w:r>
          <w:r>
            <w:fldChar w:fldCharType="separate"/>
          </w:r>
          <w:r w:rsidR="007D4D01">
            <w:t>25.104.1291</w:t>
          </w:r>
          <w:r>
            <w:fldChar w:fldCharType="end"/>
          </w:r>
        </w:p>
      </w:tc>
    </w:tr>
    <w:tr w:rsidR="00502D69" w14:paraId="1EC9CF3C" w14:textId="77777777" w:rsidTr="009C1E9A">
      <w:trPr>
        <w:cantSplit/>
      </w:trPr>
      <w:tc>
        <w:tcPr>
          <w:tcW w:w="0" w:type="pct"/>
        </w:tcPr>
        <w:p w14:paraId="6AB15AEB" w14:textId="77777777" w:rsidR="00EC379B" w:rsidRDefault="00EC379B" w:rsidP="009C1E9A">
          <w:pPr>
            <w:pStyle w:val="Footer"/>
            <w:tabs>
              <w:tab w:val="clear" w:pos="4320"/>
              <w:tab w:val="clear" w:pos="8640"/>
              <w:tab w:val="left" w:pos="2865"/>
            </w:tabs>
          </w:pPr>
        </w:p>
      </w:tc>
      <w:tc>
        <w:tcPr>
          <w:tcW w:w="2395" w:type="pct"/>
        </w:tcPr>
        <w:p w14:paraId="30F9D63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B9CDF70" w14:textId="77777777" w:rsidR="00EC379B" w:rsidRDefault="00EC379B" w:rsidP="006D504F">
          <w:pPr>
            <w:pStyle w:val="Footer"/>
            <w:rPr>
              <w:rStyle w:val="PageNumber"/>
            </w:rPr>
          </w:pPr>
        </w:p>
        <w:p w14:paraId="4C34C080" w14:textId="77777777" w:rsidR="00EC379B" w:rsidRDefault="00EC379B" w:rsidP="009C1E9A">
          <w:pPr>
            <w:pStyle w:val="Footer"/>
            <w:tabs>
              <w:tab w:val="clear" w:pos="8640"/>
              <w:tab w:val="right" w:pos="9360"/>
            </w:tabs>
            <w:jc w:val="right"/>
          </w:pPr>
        </w:p>
      </w:tc>
    </w:tr>
    <w:tr w:rsidR="00502D69" w14:paraId="77C3EFF3" w14:textId="77777777" w:rsidTr="009C1E9A">
      <w:trPr>
        <w:cantSplit/>
        <w:trHeight w:val="323"/>
      </w:trPr>
      <w:tc>
        <w:tcPr>
          <w:tcW w:w="0" w:type="pct"/>
          <w:gridSpan w:val="3"/>
        </w:tcPr>
        <w:p w14:paraId="3F1FF761" w14:textId="77777777" w:rsidR="00EC379B" w:rsidRDefault="0029374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622220" w14:textId="77777777" w:rsidR="00EC379B" w:rsidRDefault="00EC379B" w:rsidP="009C1E9A">
          <w:pPr>
            <w:pStyle w:val="Footer"/>
            <w:tabs>
              <w:tab w:val="clear" w:pos="8640"/>
              <w:tab w:val="right" w:pos="9360"/>
            </w:tabs>
            <w:jc w:val="center"/>
          </w:pPr>
        </w:p>
      </w:tc>
    </w:tr>
  </w:tbl>
  <w:p w14:paraId="32D944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10B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EC91" w14:textId="77777777" w:rsidR="0029374A" w:rsidRDefault="0029374A">
      <w:r>
        <w:separator/>
      </w:r>
    </w:p>
  </w:footnote>
  <w:footnote w:type="continuationSeparator" w:id="0">
    <w:p w14:paraId="4A4427AC" w14:textId="77777777" w:rsidR="0029374A" w:rsidRDefault="0029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DB7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DCE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36D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9DF"/>
    <w:multiLevelType w:val="hybridMultilevel"/>
    <w:tmpl w:val="6AB06198"/>
    <w:lvl w:ilvl="0" w:tplc="B9325CB8">
      <w:start w:val="1"/>
      <w:numFmt w:val="bullet"/>
      <w:lvlText w:val=""/>
      <w:lvlJc w:val="left"/>
      <w:pPr>
        <w:tabs>
          <w:tab w:val="num" w:pos="780"/>
        </w:tabs>
        <w:ind w:left="780" w:hanging="360"/>
      </w:pPr>
      <w:rPr>
        <w:rFonts w:ascii="Symbol" w:hAnsi="Symbol" w:hint="default"/>
      </w:rPr>
    </w:lvl>
    <w:lvl w:ilvl="1" w:tplc="8D9E4B3E" w:tentative="1">
      <w:start w:val="1"/>
      <w:numFmt w:val="bullet"/>
      <w:lvlText w:val="o"/>
      <w:lvlJc w:val="left"/>
      <w:pPr>
        <w:ind w:left="1500" w:hanging="360"/>
      </w:pPr>
      <w:rPr>
        <w:rFonts w:ascii="Courier New" w:hAnsi="Courier New" w:cs="Courier New" w:hint="default"/>
      </w:rPr>
    </w:lvl>
    <w:lvl w:ilvl="2" w:tplc="03DC8DBC" w:tentative="1">
      <w:start w:val="1"/>
      <w:numFmt w:val="bullet"/>
      <w:lvlText w:val=""/>
      <w:lvlJc w:val="left"/>
      <w:pPr>
        <w:ind w:left="2220" w:hanging="360"/>
      </w:pPr>
      <w:rPr>
        <w:rFonts w:ascii="Wingdings" w:hAnsi="Wingdings" w:hint="default"/>
      </w:rPr>
    </w:lvl>
    <w:lvl w:ilvl="3" w:tplc="FBFA69FC" w:tentative="1">
      <w:start w:val="1"/>
      <w:numFmt w:val="bullet"/>
      <w:lvlText w:val=""/>
      <w:lvlJc w:val="left"/>
      <w:pPr>
        <w:ind w:left="2940" w:hanging="360"/>
      </w:pPr>
      <w:rPr>
        <w:rFonts w:ascii="Symbol" w:hAnsi="Symbol" w:hint="default"/>
      </w:rPr>
    </w:lvl>
    <w:lvl w:ilvl="4" w:tplc="4ED0E9FE" w:tentative="1">
      <w:start w:val="1"/>
      <w:numFmt w:val="bullet"/>
      <w:lvlText w:val="o"/>
      <w:lvlJc w:val="left"/>
      <w:pPr>
        <w:ind w:left="3660" w:hanging="360"/>
      </w:pPr>
      <w:rPr>
        <w:rFonts w:ascii="Courier New" w:hAnsi="Courier New" w:cs="Courier New" w:hint="default"/>
      </w:rPr>
    </w:lvl>
    <w:lvl w:ilvl="5" w:tplc="48EE43BE" w:tentative="1">
      <w:start w:val="1"/>
      <w:numFmt w:val="bullet"/>
      <w:lvlText w:val=""/>
      <w:lvlJc w:val="left"/>
      <w:pPr>
        <w:ind w:left="4380" w:hanging="360"/>
      </w:pPr>
      <w:rPr>
        <w:rFonts w:ascii="Wingdings" w:hAnsi="Wingdings" w:hint="default"/>
      </w:rPr>
    </w:lvl>
    <w:lvl w:ilvl="6" w:tplc="3EBC1C2C" w:tentative="1">
      <w:start w:val="1"/>
      <w:numFmt w:val="bullet"/>
      <w:lvlText w:val=""/>
      <w:lvlJc w:val="left"/>
      <w:pPr>
        <w:ind w:left="5100" w:hanging="360"/>
      </w:pPr>
      <w:rPr>
        <w:rFonts w:ascii="Symbol" w:hAnsi="Symbol" w:hint="default"/>
      </w:rPr>
    </w:lvl>
    <w:lvl w:ilvl="7" w:tplc="0E1EF0AE" w:tentative="1">
      <w:start w:val="1"/>
      <w:numFmt w:val="bullet"/>
      <w:lvlText w:val="o"/>
      <w:lvlJc w:val="left"/>
      <w:pPr>
        <w:ind w:left="5820" w:hanging="360"/>
      </w:pPr>
      <w:rPr>
        <w:rFonts w:ascii="Courier New" w:hAnsi="Courier New" w:cs="Courier New" w:hint="default"/>
      </w:rPr>
    </w:lvl>
    <w:lvl w:ilvl="8" w:tplc="E7A4FA24" w:tentative="1">
      <w:start w:val="1"/>
      <w:numFmt w:val="bullet"/>
      <w:lvlText w:val=""/>
      <w:lvlJc w:val="left"/>
      <w:pPr>
        <w:ind w:left="6540" w:hanging="360"/>
      </w:pPr>
      <w:rPr>
        <w:rFonts w:ascii="Wingdings" w:hAnsi="Wingdings" w:hint="default"/>
      </w:rPr>
    </w:lvl>
  </w:abstractNum>
  <w:abstractNum w:abstractNumId="1" w15:restartNumberingAfterBreak="0">
    <w:nsid w:val="5D1A6C2B"/>
    <w:multiLevelType w:val="hybridMultilevel"/>
    <w:tmpl w:val="F3FCBA30"/>
    <w:lvl w:ilvl="0" w:tplc="1A4403F4">
      <w:start w:val="1"/>
      <w:numFmt w:val="bullet"/>
      <w:lvlText w:val=""/>
      <w:lvlJc w:val="left"/>
      <w:pPr>
        <w:tabs>
          <w:tab w:val="num" w:pos="720"/>
        </w:tabs>
        <w:ind w:left="720" w:hanging="360"/>
      </w:pPr>
      <w:rPr>
        <w:rFonts w:ascii="Symbol" w:hAnsi="Symbol" w:hint="default"/>
      </w:rPr>
    </w:lvl>
    <w:lvl w:ilvl="1" w:tplc="073C0296" w:tentative="1">
      <w:start w:val="1"/>
      <w:numFmt w:val="bullet"/>
      <w:lvlText w:val="o"/>
      <w:lvlJc w:val="left"/>
      <w:pPr>
        <w:ind w:left="1440" w:hanging="360"/>
      </w:pPr>
      <w:rPr>
        <w:rFonts w:ascii="Courier New" w:hAnsi="Courier New" w:cs="Courier New" w:hint="default"/>
      </w:rPr>
    </w:lvl>
    <w:lvl w:ilvl="2" w:tplc="83D61756" w:tentative="1">
      <w:start w:val="1"/>
      <w:numFmt w:val="bullet"/>
      <w:lvlText w:val=""/>
      <w:lvlJc w:val="left"/>
      <w:pPr>
        <w:ind w:left="2160" w:hanging="360"/>
      </w:pPr>
      <w:rPr>
        <w:rFonts w:ascii="Wingdings" w:hAnsi="Wingdings" w:hint="default"/>
      </w:rPr>
    </w:lvl>
    <w:lvl w:ilvl="3" w:tplc="A77E08EC" w:tentative="1">
      <w:start w:val="1"/>
      <w:numFmt w:val="bullet"/>
      <w:lvlText w:val=""/>
      <w:lvlJc w:val="left"/>
      <w:pPr>
        <w:ind w:left="2880" w:hanging="360"/>
      </w:pPr>
      <w:rPr>
        <w:rFonts w:ascii="Symbol" w:hAnsi="Symbol" w:hint="default"/>
      </w:rPr>
    </w:lvl>
    <w:lvl w:ilvl="4" w:tplc="8142679A" w:tentative="1">
      <w:start w:val="1"/>
      <w:numFmt w:val="bullet"/>
      <w:lvlText w:val="o"/>
      <w:lvlJc w:val="left"/>
      <w:pPr>
        <w:ind w:left="3600" w:hanging="360"/>
      </w:pPr>
      <w:rPr>
        <w:rFonts w:ascii="Courier New" w:hAnsi="Courier New" w:cs="Courier New" w:hint="default"/>
      </w:rPr>
    </w:lvl>
    <w:lvl w:ilvl="5" w:tplc="0AA6C5F4" w:tentative="1">
      <w:start w:val="1"/>
      <w:numFmt w:val="bullet"/>
      <w:lvlText w:val=""/>
      <w:lvlJc w:val="left"/>
      <w:pPr>
        <w:ind w:left="4320" w:hanging="360"/>
      </w:pPr>
      <w:rPr>
        <w:rFonts w:ascii="Wingdings" w:hAnsi="Wingdings" w:hint="default"/>
      </w:rPr>
    </w:lvl>
    <w:lvl w:ilvl="6" w:tplc="B3FA2040" w:tentative="1">
      <w:start w:val="1"/>
      <w:numFmt w:val="bullet"/>
      <w:lvlText w:val=""/>
      <w:lvlJc w:val="left"/>
      <w:pPr>
        <w:ind w:left="5040" w:hanging="360"/>
      </w:pPr>
      <w:rPr>
        <w:rFonts w:ascii="Symbol" w:hAnsi="Symbol" w:hint="default"/>
      </w:rPr>
    </w:lvl>
    <w:lvl w:ilvl="7" w:tplc="8FE48876" w:tentative="1">
      <w:start w:val="1"/>
      <w:numFmt w:val="bullet"/>
      <w:lvlText w:val="o"/>
      <w:lvlJc w:val="left"/>
      <w:pPr>
        <w:ind w:left="5760" w:hanging="360"/>
      </w:pPr>
      <w:rPr>
        <w:rFonts w:ascii="Courier New" w:hAnsi="Courier New" w:cs="Courier New" w:hint="default"/>
      </w:rPr>
    </w:lvl>
    <w:lvl w:ilvl="8" w:tplc="94608FEA" w:tentative="1">
      <w:start w:val="1"/>
      <w:numFmt w:val="bullet"/>
      <w:lvlText w:val=""/>
      <w:lvlJc w:val="left"/>
      <w:pPr>
        <w:ind w:left="6480" w:hanging="360"/>
      </w:pPr>
      <w:rPr>
        <w:rFonts w:ascii="Wingdings" w:hAnsi="Wingdings" w:hint="default"/>
      </w:rPr>
    </w:lvl>
  </w:abstractNum>
  <w:num w:numId="1" w16cid:durableId="1710569737">
    <w:abstractNumId w:val="0"/>
  </w:num>
  <w:num w:numId="2" w16cid:durableId="68780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E4"/>
    <w:rsid w:val="00000A70"/>
    <w:rsid w:val="000032B8"/>
    <w:rsid w:val="00003B06"/>
    <w:rsid w:val="000054B9"/>
    <w:rsid w:val="00007461"/>
    <w:rsid w:val="0001117E"/>
    <w:rsid w:val="0001125F"/>
    <w:rsid w:val="000128B7"/>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21E"/>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7D4"/>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B26"/>
    <w:rsid w:val="00137D90"/>
    <w:rsid w:val="00141FB6"/>
    <w:rsid w:val="00142F8E"/>
    <w:rsid w:val="00143C8B"/>
    <w:rsid w:val="00147530"/>
    <w:rsid w:val="0015331F"/>
    <w:rsid w:val="00155833"/>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2DB"/>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91A"/>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374A"/>
    <w:rsid w:val="00296FF0"/>
    <w:rsid w:val="002A09EE"/>
    <w:rsid w:val="002A17C0"/>
    <w:rsid w:val="002A48DF"/>
    <w:rsid w:val="002A5A84"/>
    <w:rsid w:val="002A6E6F"/>
    <w:rsid w:val="002A74E4"/>
    <w:rsid w:val="002A7CFE"/>
    <w:rsid w:val="002B26DD"/>
    <w:rsid w:val="002B2870"/>
    <w:rsid w:val="002B391B"/>
    <w:rsid w:val="002B5B42"/>
    <w:rsid w:val="002B7BA7"/>
    <w:rsid w:val="002C0396"/>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0070"/>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2E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69B"/>
    <w:rsid w:val="00365D2C"/>
    <w:rsid w:val="00370155"/>
    <w:rsid w:val="003712D5"/>
    <w:rsid w:val="003747DF"/>
    <w:rsid w:val="00377E3D"/>
    <w:rsid w:val="003847E8"/>
    <w:rsid w:val="0038731D"/>
    <w:rsid w:val="00387B60"/>
    <w:rsid w:val="00390098"/>
    <w:rsid w:val="00392DA1"/>
    <w:rsid w:val="00393718"/>
    <w:rsid w:val="003A0296"/>
    <w:rsid w:val="003A10BC"/>
    <w:rsid w:val="003B0490"/>
    <w:rsid w:val="003B1501"/>
    <w:rsid w:val="003B185E"/>
    <w:rsid w:val="003B198A"/>
    <w:rsid w:val="003B1CA3"/>
    <w:rsid w:val="003B1ED9"/>
    <w:rsid w:val="003B2891"/>
    <w:rsid w:val="003B3DF3"/>
    <w:rsid w:val="003B48E2"/>
    <w:rsid w:val="003B4FA1"/>
    <w:rsid w:val="003B5BAD"/>
    <w:rsid w:val="003B66B6"/>
    <w:rsid w:val="003B7607"/>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6BC"/>
    <w:rsid w:val="004350F3"/>
    <w:rsid w:val="00436980"/>
    <w:rsid w:val="00441016"/>
    <w:rsid w:val="00441F2F"/>
    <w:rsid w:val="0044228B"/>
    <w:rsid w:val="00447018"/>
    <w:rsid w:val="00450561"/>
    <w:rsid w:val="00450A40"/>
    <w:rsid w:val="00451D7C"/>
    <w:rsid w:val="00452FC3"/>
    <w:rsid w:val="00454715"/>
    <w:rsid w:val="00455466"/>
    <w:rsid w:val="00455936"/>
    <w:rsid w:val="00455ACE"/>
    <w:rsid w:val="00461B69"/>
    <w:rsid w:val="00462B3D"/>
    <w:rsid w:val="00474927"/>
    <w:rsid w:val="00475913"/>
    <w:rsid w:val="004761B4"/>
    <w:rsid w:val="00480080"/>
    <w:rsid w:val="0048229E"/>
    <w:rsid w:val="004824A7"/>
    <w:rsid w:val="00483AF0"/>
    <w:rsid w:val="00484167"/>
    <w:rsid w:val="00491AC6"/>
    <w:rsid w:val="00492211"/>
    <w:rsid w:val="00492325"/>
    <w:rsid w:val="00492A6D"/>
    <w:rsid w:val="00494303"/>
    <w:rsid w:val="0049682B"/>
    <w:rsid w:val="004977A3"/>
    <w:rsid w:val="004A03F7"/>
    <w:rsid w:val="004A081C"/>
    <w:rsid w:val="004A123F"/>
    <w:rsid w:val="004A2172"/>
    <w:rsid w:val="004A239F"/>
    <w:rsid w:val="004B138F"/>
    <w:rsid w:val="004B3476"/>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A88"/>
    <w:rsid w:val="004F57CB"/>
    <w:rsid w:val="004F64F6"/>
    <w:rsid w:val="004F69C0"/>
    <w:rsid w:val="00500121"/>
    <w:rsid w:val="005017AC"/>
    <w:rsid w:val="00501E8A"/>
    <w:rsid w:val="00502D69"/>
    <w:rsid w:val="00505121"/>
    <w:rsid w:val="00505C04"/>
    <w:rsid w:val="00505F1B"/>
    <w:rsid w:val="005073E8"/>
    <w:rsid w:val="00510503"/>
    <w:rsid w:val="0051324D"/>
    <w:rsid w:val="00515466"/>
    <w:rsid w:val="005154F7"/>
    <w:rsid w:val="005159DE"/>
    <w:rsid w:val="0052028B"/>
    <w:rsid w:val="00524B43"/>
    <w:rsid w:val="005269CE"/>
    <w:rsid w:val="005304B2"/>
    <w:rsid w:val="005336BD"/>
    <w:rsid w:val="00534A49"/>
    <w:rsid w:val="005363BB"/>
    <w:rsid w:val="00540112"/>
    <w:rsid w:val="00541B98"/>
    <w:rsid w:val="00543374"/>
    <w:rsid w:val="00545548"/>
    <w:rsid w:val="00546923"/>
    <w:rsid w:val="00551CA6"/>
    <w:rsid w:val="00555034"/>
    <w:rsid w:val="005570D2"/>
    <w:rsid w:val="00561528"/>
    <w:rsid w:val="0056153F"/>
    <w:rsid w:val="00561B14"/>
    <w:rsid w:val="00562C87"/>
    <w:rsid w:val="005636BD"/>
    <w:rsid w:val="0056494C"/>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7028"/>
    <w:rsid w:val="005B031F"/>
    <w:rsid w:val="005B3298"/>
    <w:rsid w:val="005B3C13"/>
    <w:rsid w:val="005B5516"/>
    <w:rsid w:val="005B5D2B"/>
    <w:rsid w:val="005C1496"/>
    <w:rsid w:val="005C17C5"/>
    <w:rsid w:val="005C2B21"/>
    <w:rsid w:val="005C2C00"/>
    <w:rsid w:val="005C4C6F"/>
    <w:rsid w:val="005C5127"/>
    <w:rsid w:val="005C7CCB"/>
    <w:rsid w:val="005D1444"/>
    <w:rsid w:val="005D26F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9B4"/>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22E"/>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AE9"/>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4D01"/>
    <w:rsid w:val="007D58D2"/>
    <w:rsid w:val="007D7D86"/>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27F"/>
    <w:rsid w:val="00897E80"/>
    <w:rsid w:val="008A04FA"/>
    <w:rsid w:val="008A1700"/>
    <w:rsid w:val="008A3188"/>
    <w:rsid w:val="008A3FDF"/>
    <w:rsid w:val="008A6418"/>
    <w:rsid w:val="008B05D8"/>
    <w:rsid w:val="008B0B3D"/>
    <w:rsid w:val="008B2B1A"/>
    <w:rsid w:val="008B3428"/>
    <w:rsid w:val="008B4A91"/>
    <w:rsid w:val="008B7785"/>
    <w:rsid w:val="008B79F2"/>
    <w:rsid w:val="008C0809"/>
    <w:rsid w:val="008C132C"/>
    <w:rsid w:val="008C3FD0"/>
    <w:rsid w:val="008D1F68"/>
    <w:rsid w:val="008D27A5"/>
    <w:rsid w:val="008D2AAB"/>
    <w:rsid w:val="008D309C"/>
    <w:rsid w:val="008D58F9"/>
    <w:rsid w:val="008D7427"/>
    <w:rsid w:val="008E3338"/>
    <w:rsid w:val="008E47BE"/>
    <w:rsid w:val="008F09DF"/>
    <w:rsid w:val="008F1C91"/>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321"/>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044"/>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0E4"/>
    <w:rsid w:val="00C3223B"/>
    <w:rsid w:val="00C333C6"/>
    <w:rsid w:val="00C35CC5"/>
    <w:rsid w:val="00C361C5"/>
    <w:rsid w:val="00C370C5"/>
    <w:rsid w:val="00C377D1"/>
    <w:rsid w:val="00C37BDA"/>
    <w:rsid w:val="00C37C84"/>
    <w:rsid w:val="00C42B41"/>
    <w:rsid w:val="00C46166"/>
    <w:rsid w:val="00C4710D"/>
    <w:rsid w:val="00C50CAD"/>
    <w:rsid w:val="00C57933"/>
    <w:rsid w:val="00C60206"/>
    <w:rsid w:val="00C60CAB"/>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825"/>
    <w:rsid w:val="00CC7131"/>
    <w:rsid w:val="00CC7B9E"/>
    <w:rsid w:val="00CD06CA"/>
    <w:rsid w:val="00CD076A"/>
    <w:rsid w:val="00CD180C"/>
    <w:rsid w:val="00CD37DA"/>
    <w:rsid w:val="00CD3B9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32C"/>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5F3E"/>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071"/>
    <w:rsid w:val="00D64B88"/>
    <w:rsid w:val="00D64DC5"/>
    <w:rsid w:val="00D66BA6"/>
    <w:rsid w:val="00D700B1"/>
    <w:rsid w:val="00D730FA"/>
    <w:rsid w:val="00D75077"/>
    <w:rsid w:val="00D76631"/>
    <w:rsid w:val="00D768B7"/>
    <w:rsid w:val="00D77492"/>
    <w:rsid w:val="00D811E8"/>
    <w:rsid w:val="00D81A44"/>
    <w:rsid w:val="00D82CFF"/>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2C6"/>
    <w:rsid w:val="00E20520"/>
    <w:rsid w:val="00E21D55"/>
    <w:rsid w:val="00E21FDC"/>
    <w:rsid w:val="00E2551E"/>
    <w:rsid w:val="00E26B13"/>
    <w:rsid w:val="00E27E5A"/>
    <w:rsid w:val="00E31135"/>
    <w:rsid w:val="00E317BA"/>
    <w:rsid w:val="00E32AA0"/>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683"/>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8B2"/>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B84"/>
    <w:rsid w:val="00F27573"/>
    <w:rsid w:val="00F307B6"/>
    <w:rsid w:val="00F30EB8"/>
    <w:rsid w:val="00F31876"/>
    <w:rsid w:val="00F31C67"/>
    <w:rsid w:val="00F36FE0"/>
    <w:rsid w:val="00F37774"/>
    <w:rsid w:val="00F37EA8"/>
    <w:rsid w:val="00F40B14"/>
    <w:rsid w:val="00F41186"/>
    <w:rsid w:val="00F41EEF"/>
    <w:rsid w:val="00F41FAC"/>
    <w:rsid w:val="00F420C6"/>
    <w:rsid w:val="00F423D3"/>
    <w:rsid w:val="00F44349"/>
    <w:rsid w:val="00F44A62"/>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42F5"/>
    <w:rsid w:val="00F85661"/>
    <w:rsid w:val="00F96602"/>
    <w:rsid w:val="00F9735A"/>
    <w:rsid w:val="00FA32FC"/>
    <w:rsid w:val="00FA59FD"/>
    <w:rsid w:val="00FA5D8C"/>
    <w:rsid w:val="00FA6403"/>
    <w:rsid w:val="00FB16CD"/>
    <w:rsid w:val="00FB73AE"/>
    <w:rsid w:val="00FC5388"/>
    <w:rsid w:val="00FC726C"/>
    <w:rsid w:val="00FD1B4B"/>
    <w:rsid w:val="00FD1B94"/>
    <w:rsid w:val="00FD2DF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042AC4-5C45-4BE6-B4D5-FBCA9917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369B4"/>
    <w:rPr>
      <w:sz w:val="16"/>
      <w:szCs w:val="16"/>
    </w:rPr>
  </w:style>
  <w:style w:type="paragraph" w:styleId="CommentText">
    <w:name w:val="annotation text"/>
    <w:basedOn w:val="Normal"/>
    <w:link w:val="CommentTextChar"/>
    <w:unhideWhenUsed/>
    <w:rsid w:val="006369B4"/>
    <w:rPr>
      <w:sz w:val="20"/>
      <w:szCs w:val="20"/>
    </w:rPr>
  </w:style>
  <w:style w:type="character" w:customStyle="1" w:styleId="CommentTextChar">
    <w:name w:val="Comment Text Char"/>
    <w:basedOn w:val="DefaultParagraphFont"/>
    <w:link w:val="CommentText"/>
    <w:rsid w:val="006369B4"/>
  </w:style>
  <w:style w:type="paragraph" w:styleId="CommentSubject">
    <w:name w:val="annotation subject"/>
    <w:basedOn w:val="CommentText"/>
    <w:next w:val="CommentText"/>
    <w:link w:val="CommentSubjectChar"/>
    <w:semiHidden/>
    <w:unhideWhenUsed/>
    <w:rsid w:val="006369B4"/>
    <w:rPr>
      <w:b/>
      <w:bCs/>
    </w:rPr>
  </w:style>
  <w:style w:type="character" w:customStyle="1" w:styleId="CommentSubjectChar">
    <w:name w:val="Comment Subject Char"/>
    <w:basedOn w:val="CommentTextChar"/>
    <w:link w:val="CommentSubject"/>
    <w:semiHidden/>
    <w:rsid w:val="006369B4"/>
    <w:rPr>
      <w:b/>
      <w:bCs/>
    </w:rPr>
  </w:style>
  <w:style w:type="paragraph" w:styleId="Revision">
    <w:name w:val="Revision"/>
    <w:hidden/>
    <w:uiPriority w:val="99"/>
    <w:semiHidden/>
    <w:rsid w:val="00755AE9"/>
    <w:rPr>
      <w:sz w:val="24"/>
      <w:szCs w:val="24"/>
    </w:rPr>
  </w:style>
  <w:style w:type="character" w:styleId="Hyperlink">
    <w:name w:val="Hyperlink"/>
    <w:basedOn w:val="DefaultParagraphFont"/>
    <w:unhideWhenUsed/>
    <w:rsid w:val="00EF48B2"/>
    <w:rPr>
      <w:color w:val="0000FF" w:themeColor="hyperlink"/>
      <w:u w:val="single"/>
    </w:rPr>
  </w:style>
  <w:style w:type="character" w:customStyle="1" w:styleId="UnresolvedMention1">
    <w:name w:val="Unresolved Mention1"/>
    <w:basedOn w:val="DefaultParagraphFont"/>
    <w:uiPriority w:val="99"/>
    <w:semiHidden/>
    <w:unhideWhenUsed/>
    <w:rsid w:val="00EF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4780</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BA - HB00346 (Committee Report (Unamended))</vt:lpstr>
    </vt:vector>
  </TitlesOfParts>
  <Company>State of Texas</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24406</dc:subject>
  <dc:creator>State of Texas</dc:creator>
  <dc:description>HB 346 by Harris Davila-(H)State Affairs</dc:description>
  <cp:lastModifiedBy>Damian Duarte</cp:lastModifiedBy>
  <cp:revision>2</cp:revision>
  <cp:lastPrinted>2003-11-26T17:21:00Z</cp:lastPrinted>
  <dcterms:created xsi:type="dcterms:W3CDTF">2025-04-23T17:40:00Z</dcterms:created>
  <dcterms:modified xsi:type="dcterms:W3CDTF">2025-04-23T17:40:00Z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25.104.1291</vt:lpwstr>
  </property>
</Properties>
</file>