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530D4" w14:paraId="67B7A061" w14:textId="77777777" w:rsidTr="00345119">
        <w:tc>
          <w:tcPr>
            <w:tcW w:w="9576" w:type="dxa"/>
            <w:noWrap/>
          </w:tcPr>
          <w:p w14:paraId="3F16C606" w14:textId="77777777" w:rsidR="008423E4" w:rsidRPr="0022177D" w:rsidRDefault="007C5A25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A909F07" w14:textId="77777777" w:rsidR="008423E4" w:rsidRPr="0022177D" w:rsidRDefault="008423E4" w:rsidP="008423E4">
      <w:pPr>
        <w:jc w:val="center"/>
      </w:pPr>
    </w:p>
    <w:p w14:paraId="693197B2" w14:textId="77777777" w:rsidR="008423E4" w:rsidRPr="00B31F0E" w:rsidRDefault="008423E4" w:rsidP="008423E4"/>
    <w:p w14:paraId="2E9584CC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530D4" w14:paraId="59E62AA9" w14:textId="77777777" w:rsidTr="00345119">
        <w:tc>
          <w:tcPr>
            <w:tcW w:w="9576" w:type="dxa"/>
          </w:tcPr>
          <w:p w14:paraId="391446A0" w14:textId="585650EB" w:rsidR="008423E4" w:rsidRPr="00861995" w:rsidRDefault="007C5A25" w:rsidP="00345119">
            <w:pPr>
              <w:jc w:val="right"/>
            </w:pPr>
            <w:r>
              <w:t>C.S.H.B. 517</w:t>
            </w:r>
          </w:p>
        </w:tc>
      </w:tr>
      <w:tr w:rsidR="007530D4" w14:paraId="7D100ECF" w14:textId="77777777" w:rsidTr="00345119">
        <w:tc>
          <w:tcPr>
            <w:tcW w:w="9576" w:type="dxa"/>
          </w:tcPr>
          <w:p w14:paraId="6DFF7A9F" w14:textId="4262846E" w:rsidR="008423E4" w:rsidRPr="00861995" w:rsidRDefault="007C5A25" w:rsidP="00345119">
            <w:pPr>
              <w:jc w:val="right"/>
            </w:pPr>
            <w:r>
              <w:t xml:space="preserve">By: </w:t>
            </w:r>
            <w:r w:rsidR="00A205F8">
              <w:t>Harris Davila</w:t>
            </w:r>
          </w:p>
        </w:tc>
      </w:tr>
      <w:tr w:rsidR="007530D4" w14:paraId="7EDAA668" w14:textId="77777777" w:rsidTr="00345119">
        <w:tc>
          <w:tcPr>
            <w:tcW w:w="9576" w:type="dxa"/>
          </w:tcPr>
          <w:p w14:paraId="6C150E83" w14:textId="5179CF3D" w:rsidR="008423E4" w:rsidRPr="00861995" w:rsidRDefault="007C5A25" w:rsidP="00345119">
            <w:pPr>
              <w:jc w:val="right"/>
            </w:pPr>
            <w:r>
              <w:t>Trade, Workforce &amp; Economic Development</w:t>
            </w:r>
          </w:p>
        </w:tc>
      </w:tr>
      <w:tr w:rsidR="007530D4" w14:paraId="10E7A393" w14:textId="77777777" w:rsidTr="00345119">
        <w:tc>
          <w:tcPr>
            <w:tcW w:w="9576" w:type="dxa"/>
          </w:tcPr>
          <w:p w14:paraId="252ED680" w14:textId="7200BD95" w:rsidR="008423E4" w:rsidRDefault="007C5A25" w:rsidP="00345119">
            <w:pPr>
              <w:jc w:val="right"/>
            </w:pPr>
            <w:r>
              <w:t>Committee Report (Substituted)</w:t>
            </w:r>
          </w:p>
        </w:tc>
      </w:tr>
    </w:tbl>
    <w:p w14:paraId="217B0549" w14:textId="77777777" w:rsidR="008423E4" w:rsidRDefault="008423E4" w:rsidP="008423E4">
      <w:pPr>
        <w:tabs>
          <w:tab w:val="right" w:pos="9360"/>
        </w:tabs>
      </w:pPr>
    </w:p>
    <w:p w14:paraId="078694EB" w14:textId="77777777" w:rsidR="008423E4" w:rsidRDefault="008423E4" w:rsidP="008423E4"/>
    <w:p w14:paraId="510BB537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530D4" w14:paraId="740666F2" w14:textId="77777777" w:rsidTr="007737EE">
        <w:tc>
          <w:tcPr>
            <w:tcW w:w="9360" w:type="dxa"/>
          </w:tcPr>
          <w:p w14:paraId="4933E183" w14:textId="77777777" w:rsidR="008423E4" w:rsidRPr="00A8133F" w:rsidRDefault="007C5A25" w:rsidP="007737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5F32F5" w14:textId="77777777" w:rsidR="008423E4" w:rsidRPr="004512F6" w:rsidRDefault="008423E4" w:rsidP="007737EE">
            <w:pPr>
              <w:rPr>
                <w:sz w:val="16"/>
                <w:szCs w:val="16"/>
              </w:rPr>
            </w:pPr>
          </w:p>
          <w:p w14:paraId="6D32CF12" w14:textId="4D5D5EB5" w:rsidR="008423E4" w:rsidRDefault="007C5A25" w:rsidP="007737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times of drought, cities often impose water restrictions in an attempt to conserve water</w:t>
            </w:r>
            <w:r w:rsidR="00A13C4C">
              <w:t xml:space="preserve"> and </w:t>
            </w:r>
            <w:r w:rsidR="00F24111">
              <w:t xml:space="preserve">may </w:t>
            </w:r>
            <w:r w:rsidR="00A13C4C">
              <w:t>impose fines</w:t>
            </w:r>
            <w:r>
              <w:t xml:space="preserve"> </w:t>
            </w:r>
            <w:r w:rsidR="00A13C4C">
              <w:t>i</w:t>
            </w:r>
            <w:r>
              <w:t xml:space="preserve">f homeowners use too much water. However, </w:t>
            </w:r>
            <w:r w:rsidR="00AA58DE">
              <w:t xml:space="preserve">as discussed by the author and constituents during a town hall, </w:t>
            </w:r>
            <w:r w:rsidR="00A13C4C">
              <w:t xml:space="preserve">some </w:t>
            </w:r>
            <w:r>
              <w:t>property owners</w:t>
            </w:r>
            <w:r w:rsidR="00F24111">
              <w:t>'</w:t>
            </w:r>
            <w:r>
              <w:t xml:space="preserve"> associations (POA) require homeowners to keep their lawns green</w:t>
            </w:r>
            <w:r w:rsidR="00464467">
              <w:t xml:space="preserve"> and </w:t>
            </w:r>
            <w:r w:rsidR="00F24111">
              <w:t xml:space="preserve">may </w:t>
            </w:r>
            <w:r w:rsidR="00464467">
              <w:t>impose fines for failing to do so</w:t>
            </w:r>
            <w:r>
              <w:t xml:space="preserve">. </w:t>
            </w:r>
            <w:r w:rsidR="00A13C4C">
              <w:t>Under these circumstances, h</w:t>
            </w:r>
            <w:r>
              <w:t xml:space="preserve">omeowners are faced with a decision to either be fined by the city due to overwatering or </w:t>
            </w:r>
            <w:r w:rsidR="00464467">
              <w:t xml:space="preserve">be fined </w:t>
            </w:r>
            <w:r>
              <w:t xml:space="preserve">by their </w:t>
            </w:r>
            <w:r w:rsidR="00464467">
              <w:t xml:space="preserve">POA </w:t>
            </w:r>
            <w:r>
              <w:t>for not keeping their lawns green.</w:t>
            </w:r>
            <w:r w:rsidR="00464467">
              <w:t xml:space="preserve"> C.S.H.B</w:t>
            </w:r>
            <w:r w:rsidR="00E97165">
              <w:t>. </w:t>
            </w:r>
            <w:r w:rsidR="00464467">
              <w:t xml:space="preserve">517 seeks to address this issue by prohibiting a POA from fining homeowners for discolored vegetation if a city imposes residential water restrictions and </w:t>
            </w:r>
            <w:r w:rsidR="00BF14A6">
              <w:t xml:space="preserve">by </w:t>
            </w:r>
            <w:r w:rsidR="00464467">
              <w:t>giving homeowners 30 days to restore their lawns once such a restriction is lifted.</w:t>
            </w:r>
          </w:p>
          <w:p w14:paraId="513EDF39" w14:textId="77777777" w:rsidR="008423E4" w:rsidRPr="00E26B13" w:rsidRDefault="008423E4" w:rsidP="007737EE">
            <w:pPr>
              <w:rPr>
                <w:b/>
              </w:rPr>
            </w:pPr>
          </w:p>
        </w:tc>
      </w:tr>
      <w:tr w:rsidR="007530D4" w14:paraId="2BE32AC5" w14:textId="77777777" w:rsidTr="007737EE">
        <w:tc>
          <w:tcPr>
            <w:tcW w:w="9360" w:type="dxa"/>
          </w:tcPr>
          <w:p w14:paraId="34A83891" w14:textId="77777777" w:rsidR="0017725B" w:rsidRDefault="007C5A25" w:rsidP="007737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8EE6D2" w14:textId="77777777" w:rsidR="0017725B" w:rsidRPr="004512F6" w:rsidRDefault="0017725B" w:rsidP="007737EE">
            <w:pPr>
              <w:rPr>
                <w:bCs/>
                <w:sz w:val="16"/>
                <w:szCs w:val="16"/>
                <w:u w:val="single"/>
              </w:rPr>
            </w:pPr>
          </w:p>
          <w:p w14:paraId="52F0D0FB" w14:textId="7B8E176E" w:rsidR="005759BC" w:rsidRPr="005759BC" w:rsidRDefault="007C5A25" w:rsidP="007737EE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C3E44D2" w14:textId="77777777" w:rsidR="0017725B" w:rsidRPr="0017725B" w:rsidRDefault="0017725B" w:rsidP="007737EE">
            <w:pPr>
              <w:rPr>
                <w:b/>
                <w:u w:val="single"/>
              </w:rPr>
            </w:pPr>
          </w:p>
        </w:tc>
      </w:tr>
      <w:tr w:rsidR="007530D4" w14:paraId="0DCCAACF" w14:textId="77777777" w:rsidTr="007737EE">
        <w:tc>
          <w:tcPr>
            <w:tcW w:w="9360" w:type="dxa"/>
          </w:tcPr>
          <w:p w14:paraId="44EC926B" w14:textId="77777777" w:rsidR="008423E4" w:rsidRPr="00A8133F" w:rsidRDefault="007C5A25" w:rsidP="007737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B9FE52" w14:textId="77777777" w:rsidR="008423E4" w:rsidRPr="004512F6" w:rsidRDefault="008423E4" w:rsidP="007737EE">
            <w:pPr>
              <w:rPr>
                <w:sz w:val="16"/>
                <w:szCs w:val="16"/>
              </w:rPr>
            </w:pPr>
          </w:p>
          <w:p w14:paraId="3BA1875A" w14:textId="3ED255D9" w:rsidR="005759BC" w:rsidRDefault="007C5A25" w:rsidP="007737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1FEFA14" w14:textId="77777777" w:rsidR="008423E4" w:rsidRPr="00E21FDC" w:rsidRDefault="008423E4" w:rsidP="007737EE">
            <w:pPr>
              <w:rPr>
                <w:b/>
              </w:rPr>
            </w:pPr>
          </w:p>
        </w:tc>
      </w:tr>
      <w:tr w:rsidR="007530D4" w14:paraId="65858F43" w14:textId="77777777" w:rsidTr="007737EE">
        <w:tc>
          <w:tcPr>
            <w:tcW w:w="9360" w:type="dxa"/>
          </w:tcPr>
          <w:p w14:paraId="7FC17CFF" w14:textId="77777777" w:rsidR="008423E4" w:rsidRPr="00A8133F" w:rsidRDefault="007C5A25" w:rsidP="007737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E52C83" w14:textId="77777777" w:rsidR="008423E4" w:rsidRPr="004512F6" w:rsidRDefault="008423E4" w:rsidP="007737EE">
            <w:pPr>
              <w:rPr>
                <w:sz w:val="16"/>
                <w:szCs w:val="16"/>
              </w:rPr>
            </w:pPr>
          </w:p>
          <w:p w14:paraId="527046C9" w14:textId="087D172A" w:rsidR="005759BC" w:rsidRDefault="007C5A25" w:rsidP="007737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517 amends the Property Code to prohibit a property owners' association</w:t>
            </w:r>
            <w:r w:rsidR="008A74F4">
              <w:t xml:space="preserve"> (POA)</w:t>
            </w:r>
            <w:r>
              <w:t xml:space="preserve"> from assessing a fine against a property owner for a violation of an applicable restrictive covenant that requires the owner to maintain green vegetation or turf or prohibits discolored or brown vegetation or turf on the property </w:t>
            </w:r>
            <w:r w:rsidR="00A34100">
              <w:t>during the following periods</w:t>
            </w:r>
            <w:r>
              <w:t>:</w:t>
            </w:r>
          </w:p>
          <w:p w14:paraId="31580424" w14:textId="2CB86D24" w:rsidR="005759BC" w:rsidRDefault="007C5A25" w:rsidP="007737EE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when the owner's property is subject to a residential watering restriction under which discolored or brown vegetation or turf could reasonably result; and</w:t>
            </w:r>
          </w:p>
          <w:p w14:paraId="5CD107D7" w14:textId="41EE66EC" w:rsidR="005759BC" w:rsidRDefault="007C5A25" w:rsidP="007737E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F54321">
              <w:t>before the 30th day after the date</w:t>
            </w:r>
            <w:r>
              <w:t xml:space="preserve"> such a restriction is lifted.</w:t>
            </w:r>
          </w:p>
          <w:p w14:paraId="1D7704C0" w14:textId="56FF29B1" w:rsidR="005759BC" w:rsidRPr="009C36CD" w:rsidRDefault="007C5A25" w:rsidP="007737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defines </w:t>
            </w:r>
            <w:r w:rsidRPr="005759BC">
              <w:t xml:space="preserve">"residential watering restriction" </w:t>
            </w:r>
            <w:r>
              <w:t>as</w:t>
            </w:r>
            <w:r w:rsidRPr="005759BC">
              <w:t xml:space="preserve"> a temporary restriction of water use to irrigate residential vegetation or turf that is mandated by a municipality, water utility, or other wholesale or retail water supplier as part of a strategy to conserve water during a period of drought.</w:t>
            </w:r>
          </w:p>
          <w:p w14:paraId="1BA35F23" w14:textId="77777777" w:rsidR="008423E4" w:rsidRPr="00835628" w:rsidRDefault="008423E4" w:rsidP="007737EE">
            <w:pPr>
              <w:rPr>
                <w:b/>
              </w:rPr>
            </w:pPr>
          </w:p>
        </w:tc>
      </w:tr>
      <w:tr w:rsidR="007530D4" w14:paraId="5F4A62E2" w14:textId="77777777" w:rsidTr="007737EE">
        <w:tc>
          <w:tcPr>
            <w:tcW w:w="9360" w:type="dxa"/>
          </w:tcPr>
          <w:p w14:paraId="4FD5FD77" w14:textId="77777777" w:rsidR="008423E4" w:rsidRPr="00A8133F" w:rsidRDefault="007C5A25" w:rsidP="007737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69AF4C" w14:textId="77777777" w:rsidR="008423E4" w:rsidRPr="004512F6" w:rsidRDefault="008423E4" w:rsidP="007737EE">
            <w:pPr>
              <w:rPr>
                <w:sz w:val="16"/>
                <w:szCs w:val="16"/>
              </w:rPr>
            </w:pPr>
          </w:p>
          <w:p w14:paraId="7476D41E" w14:textId="1525C688" w:rsidR="008423E4" w:rsidRPr="003624F2" w:rsidRDefault="007C5A25" w:rsidP="007737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DB4771E" w14:textId="77777777" w:rsidR="008423E4" w:rsidRPr="00233FDB" w:rsidRDefault="008423E4" w:rsidP="007737EE">
            <w:pPr>
              <w:rPr>
                <w:b/>
              </w:rPr>
            </w:pPr>
          </w:p>
        </w:tc>
      </w:tr>
      <w:tr w:rsidR="007530D4" w14:paraId="1C1424C5" w14:textId="77777777" w:rsidTr="007737EE">
        <w:tc>
          <w:tcPr>
            <w:tcW w:w="9360" w:type="dxa"/>
          </w:tcPr>
          <w:p w14:paraId="5A726C51" w14:textId="77777777" w:rsidR="00A205F8" w:rsidRDefault="007C5A25" w:rsidP="007737E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FCCC7CD" w14:textId="77777777" w:rsidR="00831CA1" w:rsidRPr="004512F6" w:rsidRDefault="00831CA1" w:rsidP="007737EE">
            <w:pPr>
              <w:jc w:val="both"/>
              <w:rPr>
                <w:sz w:val="16"/>
                <w:szCs w:val="16"/>
              </w:rPr>
            </w:pPr>
          </w:p>
          <w:p w14:paraId="2F43CF25" w14:textId="0345C1E4" w:rsidR="00831CA1" w:rsidRDefault="007C5A25" w:rsidP="007737EE">
            <w:pPr>
              <w:jc w:val="both"/>
            </w:pPr>
            <w:r>
              <w:t xml:space="preserve">While C.S.H.B. 517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4A6E8972" w14:textId="7DEF5F94" w:rsidR="00FD45E4" w:rsidRPr="00831CA1" w:rsidRDefault="007C5A25" w:rsidP="007737EE">
            <w:pPr>
              <w:jc w:val="both"/>
            </w:pPr>
            <w:r>
              <w:t xml:space="preserve">The substitute changes </w:t>
            </w:r>
            <w:r w:rsidR="007D5287">
              <w:t xml:space="preserve">a </w:t>
            </w:r>
            <w:r>
              <w:t xml:space="preserve">period during which a POA </w:t>
            </w:r>
            <w:r w:rsidR="00EB6C74">
              <w:t>may not assess</w:t>
            </w:r>
            <w:r w:rsidRPr="00FD45E4">
              <w:t xml:space="preserve"> a fine against a property owner for </w:t>
            </w:r>
            <w:r w:rsidR="00E63025" w:rsidRPr="00E63025">
              <w:t xml:space="preserve">discolored vegetation or turf </w:t>
            </w:r>
            <w:r w:rsidR="00DF1FDE">
              <w:t xml:space="preserve">from </w:t>
            </w:r>
            <w:r w:rsidRPr="00FD45E4">
              <w:t xml:space="preserve">a reasonable period of time after </w:t>
            </w:r>
            <w:r w:rsidR="007D5287">
              <w:t>a</w:t>
            </w:r>
            <w:r w:rsidR="007D5287" w:rsidRPr="00FD45E4">
              <w:t xml:space="preserve"> </w:t>
            </w:r>
            <w:r w:rsidRPr="00FD45E4">
              <w:t>residential watering restriction</w:t>
            </w:r>
            <w:r>
              <w:t xml:space="preserve"> is lifted, as in the introduced, to </w:t>
            </w:r>
            <w:r w:rsidRPr="00FD45E4">
              <w:t>before the 30th day after the date</w:t>
            </w:r>
            <w:r>
              <w:t xml:space="preserve"> </w:t>
            </w:r>
            <w:r w:rsidR="007D5287">
              <w:t xml:space="preserve">such a </w:t>
            </w:r>
            <w:r w:rsidRPr="00FD45E4">
              <w:t>restriction is lifted</w:t>
            </w:r>
            <w:r>
              <w:t>.</w:t>
            </w:r>
          </w:p>
          <w:p w14:paraId="161176D9" w14:textId="31B991E9" w:rsidR="00831CA1" w:rsidRDefault="00831CA1" w:rsidP="007737EE">
            <w:pPr>
              <w:jc w:val="both"/>
              <w:rPr>
                <w:b/>
                <w:u w:val="single"/>
              </w:rPr>
            </w:pPr>
          </w:p>
          <w:p w14:paraId="1610C2F6" w14:textId="4E1D7085" w:rsidR="00831CA1" w:rsidRPr="00A205F8" w:rsidRDefault="00831CA1" w:rsidP="007737EE">
            <w:pPr>
              <w:jc w:val="both"/>
              <w:rPr>
                <w:b/>
                <w:u w:val="single"/>
              </w:rPr>
            </w:pPr>
          </w:p>
        </w:tc>
      </w:tr>
    </w:tbl>
    <w:p w14:paraId="43C05FA7" w14:textId="77777777" w:rsidR="008423E4" w:rsidRPr="00BE0E75" w:rsidRDefault="008423E4" w:rsidP="007737EE">
      <w:pPr>
        <w:jc w:val="both"/>
        <w:rPr>
          <w:rFonts w:ascii="Arial" w:hAnsi="Arial"/>
          <w:sz w:val="16"/>
          <w:szCs w:val="16"/>
        </w:rPr>
      </w:pPr>
    </w:p>
    <w:p w14:paraId="4622648E" w14:textId="77777777" w:rsidR="004108C3" w:rsidRPr="008423E4" w:rsidRDefault="004108C3" w:rsidP="007737E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B55F" w14:textId="77777777" w:rsidR="007C5A25" w:rsidRDefault="007C5A25">
      <w:r>
        <w:separator/>
      </w:r>
    </w:p>
  </w:endnote>
  <w:endnote w:type="continuationSeparator" w:id="0">
    <w:p w14:paraId="04C313A9" w14:textId="77777777" w:rsidR="007C5A25" w:rsidRDefault="007C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A98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530D4" w14:paraId="2F418076" w14:textId="77777777" w:rsidTr="009C1E9A">
      <w:trPr>
        <w:cantSplit/>
      </w:trPr>
      <w:tc>
        <w:tcPr>
          <w:tcW w:w="0" w:type="pct"/>
        </w:tcPr>
        <w:p w14:paraId="53A9AE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A8D6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2A5DA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5821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1442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30D4" w14:paraId="2ABEEDEC" w14:textId="77777777" w:rsidTr="009C1E9A">
      <w:trPr>
        <w:cantSplit/>
      </w:trPr>
      <w:tc>
        <w:tcPr>
          <w:tcW w:w="0" w:type="pct"/>
        </w:tcPr>
        <w:p w14:paraId="7EE9F0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BF4311" w14:textId="266EA185" w:rsidR="00EC379B" w:rsidRPr="009C1E9A" w:rsidRDefault="007C5A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21432-D</w:t>
          </w:r>
        </w:p>
      </w:tc>
      <w:tc>
        <w:tcPr>
          <w:tcW w:w="2453" w:type="pct"/>
        </w:tcPr>
        <w:p w14:paraId="177CD332" w14:textId="07A3CB66" w:rsidR="00EC379B" w:rsidRDefault="007C5A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41C70">
            <w:t>25.86.77</w:t>
          </w:r>
          <w:r>
            <w:fldChar w:fldCharType="end"/>
          </w:r>
        </w:p>
      </w:tc>
    </w:tr>
    <w:tr w:rsidR="007530D4" w14:paraId="3A567806" w14:textId="77777777" w:rsidTr="009C1E9A">
      <w:trPr>
        <w:cantSplit/>
      </w:trPr>
      <w:tc>
        <w:tcPr>
          <w:tcW w:w="0" w:type="pct"/>
        </w:tcPr>
        <w:p w14:paraId="79BA388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173296" w14:textId="4910417C" w:rsidR="00EC379B" w:rsidRPr="009C1E9A" w:rsidRDefault="007C5A2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11740</w:t>
          </w:r>
        </w:p>
      </w:tc>
      <w:tc>
        <w:tcPr>
          <w:tcW w:w="2453" w:type="pct"/>
        </w:tcPr>
        <w:p w14:paraId="2CFC90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3EF5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30D4" w14:paraId="59F56C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475639" w14:textId="77777777" w:rsidR="00EC379B" w:rsidRDefault="007C5A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C38C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4D56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BAA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4BA2" w14:textId="77777777" w:rsidR="007C5A25" w:rsidRDefault="007C5A25">
      <w:r>
        <w:separator/>
      </w:r>
    </w:p>
  </w:footnote>
  <w:footnote w:type="continuationSeparator" w:id="0">
    <w:p w14:paraId="7BAA67DD" w14:textId="77777777" w:rsidR="007C5A25" w:rsidRDefault="007C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330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07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D7E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D1F"/>
    <w:multiLevelType w:val="hybridMultilevel"/>
    <w:tmpl w:val="3A706B44"/>
    <w:lvl w:ilvl="0" w:tplc="64EAF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23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2A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F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8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83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05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C1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275F6"/>
    <w:multiLevelType w:val="hybridMultilevel"/>
    <w:tmpl w:val="650A92F4"/>
    <w:lvl w:ilvl="0" w:tplc="6F98BD0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E182C436" w:tentative="1">
      <w:start w:val="1"/>
      <w:numFmt w:val="lowerLetter"/>
      <w:lvlText w:val="%2."/>
      <w:lvlJc w:val="left"/>
      <w:pPr>
        <w:ind w:left="1440" w:hanging="360"/>
      </w:pPr>
    </w:lvl>
    <w:lvl w:ilvl="2" w:tplc="BDEA6E1C" w:tentative="1">
      <w:start w:val="1"/>
      <w:numFmt w:val="lowerRoman"/>
      <w:lvlText w:val="%3."/>
      <w:lvlJc w:val="right"/>
      <w:pPr>
        <w:ind w:left="2160" w:hanging="180"/>
      </w:pPr>
    </w:lvl>
    <w:lvl w:ilvl="3" w:tplc="969EA414" w:tentative="1">
      <w:start w:val="1"/>
      <w:numFmt w:val="decimal"/>
      <w:lvlText w:val="%4."/>
      <w:lvlJc w:val="left"/>
      <w:pPr>
        <w:ind w:left="2880" w:hanging="360"/>
      </w:pPr>
    </w:lvl>
    <w:lvl w:ilvl="4" w:tplc="01E633A0" w:tentative="1">
      <w:start w:val="1"/>
      <w:numFmt w:val="lowerLetter"/>
      <w:lvlText w:val="%5."/>
      <w:lvlJc w:val="left"/>
      <w:pPr>
        <w:ind w:left="3600" w:hanging="360"/>
      </w:pPr>
    </w:lvl>
    <w:lvl w:ilvl="5" w:tplc="E8407670" w:tentative="1">
      <w:start w:val="1"/>
      <w:numFmt w:val="lowerRoman"/>
      <w:lvlText w:val="%6."/>
      <w:lvlJc w:val="right"/>
      <w:pPr>
        <w:ind w:left="4320" w:hanging="180"/>
      </w:pPr>
    </w:lvl>
    <w:lvl w:ilvl="6" w:tplc="1E3E70EC" w:tentative="1">
      <w:start w:val="1"/>
      <w:numFmt w:val="decimal"/>
      <w:lvlText w:val="%7."/>
      <w:lvlJc w:val="left"/>
      <w:pPr>
        <w:ind w:left="5040" w:hanging="360"/>
      </w:pPr>
    </w:lvl>
    <w:lvl w:ilvl="7" w:tplc="A32443E0" w:tentative="1">
      <w:start w:val="1"/>
      <w:numFmt w:val="lowerLetter"/>
      <w:lvlText w:val="%8."/>
      <w:lvlJc w:val="left"/>
      <w:pPr>
        <w:ind w:left="5760" w:hanging="360"/>
      </w:pPr>
    </w:lvl>
    <w:lvl w:ilvl="8" w:tplc="4F7236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4841">
    <w:abstractNumId w:val="0"/>
  </w:num>
  <w:num w:numId="2" w16cid:durableId="124626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BC"/>
    <w:rsid w:val="00000A70"/>
    <w:rsid w:val="000032B8"/>
    <w:rsid w:val="00003B06"/>
    <w:rsid w:val="000054B9"/>
    <w:rsid w:val="000062CA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C4D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BCE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A5634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4DC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B92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469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6B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872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5A2"/>
    <w:rsid w:val="00422039"/>
    <w:rsid w:val="00423FBC"/>
    <w:rsid w:val="004241AA"/>
    <w:rsid w:val="0042422E"/>
    <w:rsid w:val="0043190E"/>
    <w:rsid w:val="004324E9"/>
    <w:rsid w:val="0043441F"/>
    <w:rsid w:val="004350F3"/>
    <w:rsid w:val="00436980"/>
    <w:rsid w:val="00441016"/>
    <w:rsid w:val="00441F2F"/>
    <w:rsid w:val="0044228B"/>
    <w:rsid w:val="00447018"/>
    <w:rsid w:val="00450561"/>
    <w:rsid w:val="00450A40"/>
    <w:rsid w:val="004512F6"/>
    <w:rsid w:val="00451D7C"/>
    <w:rsid w:val="00452FC3"/>
    <w:rsid w:val="00454715"/>
    <w:rsid w:val="00455936"/>
    <w:rsid w:val="00455ACE"/>
    <w:rsid w:val="00461B69"/>
    <w:rsid w:val="00462B3D"/>
    <w:rsid w:val="00464467"/>
    <w:rsid w:val="004726D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59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3F82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510"/>
    <w:rsid w:val="005666D5"/>
    <w:rsid w:val="005669A7"/>
    <w:rsid w:val="00573401"/>
    <w:rsid w:val="00574199"/>
    <w:rsid w:val="005759BC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4DE"/>
    <w:rsid w:val="006A7CFC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58C"/>
    <w:rsid w:val="00742794"/>
    <w:rsid w:val="00743C4C"/>
    <w:rsid w:val="007445B7"/>
    <w:rsid w:val="00744920"/>
    <w:rsid w:val="007509BE"/>
    <w:rsid w:val="0075287B"/>
    <w:rsid w:val="007530D4"/>
    <w:rsid w:val="00755C7B"/>
    <w:rsid w:val="00761A97"/>
    <w:rsid w:val="00764786"/>
    <w:rsid w:val="00766E12"/>
    <w:rsid w:val="0077098E"/>
    <w:rsid w:val="00771287"/>
    <w:rsid w:val="0077149E"/>
    <w:rsid w:val="007737EE"/>
    <w:rsid w:val="00777518"/>
    <w:rsid w:val="0077779E"/>
    <w:rsid w:val="00780FB6"/>
    <w:rsid w:val="007842B0"/>
    <w:rsid w:val="0078552A"/>
    <w:rsid w:val="00785729"/>
    <w:rsid w:val="00786058"/>
    <w:rsid w:val="0079487D"/>
    <w:rsid w:val="007966D4"/>
    <w:rsid w:val="00796A0A"/>
    <w:rsid w:val="0079792C"/>
    <w:rsid w:val="007A0989"/>
    <w:rsid w:val="007A0FA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A25"/>
    <w:rsid w:val="007C6803"/>
    <w:rsid w:val="007D2892"/>
    <w:rsid w:val="007D2DCC"/>
    <w:rsid w:val="007D47E1"/>
    <w:rsid w:val="007D528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CA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4F4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28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D9E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C4C"/>
    <w:rsid w:val="00A1446F"/>
    <w:rsid w:val="00A151B5"/>
    <w:rsid w:val="00A205F8"/>
    <w:rsid w:val="00A220FF"/>
    <w:rsid w:val="00A227E0"/>
    <w:rsid w:val="00A2281C"/>
    <w:rsid w:val="00A232E4"/>
    <w:rsid w:val="00A24AAD"/>
    <w:rsid w:val="00A26A8A"/>
    <w:rsid w:val="00A27255"/>
    <w:rsid w:val="00A32304"/>
    <w:rsid w:val="00A34100"/>
    <w:rsid w:val="00A3420E"/>
    <w:rsid w:val="00A35D66"/>
    <w:rsid w:val="00A41085"/>
    <w:rsid w:val="00A425FA"/>
    <w:rsid w:val="00A42896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8DE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E6A"/>
    <w:rsid w:val="00AC2E9A"/>
    <w:rsid w:val="00AC5AAB"/>
    <w:rsid w:val="00AC5AEC"/>
    <w:rsid w:val="00AC5F28"/>
    <w:rsid w:val="00AC6900"/>
    <w:rsid w:val="00AC75C0"/>
    <w:rsid w:val="00AD0AD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5FBD"/>
    <w:rsid w:val="00B26437"/>
    <w:rsid w:val="00B2678E"/>
    <w:rsid w:val="00B27247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4A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200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E0A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0F"/>
    <w:rsid w:val="00CE3582"/>
    <w:rsid w:val="00CE3795"/>
    <w:rsid w:val="00CE3E20"/>
    <w:rsid w:val="00CF3DC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1F6B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BC0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FDE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70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02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19D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165"/>
    <w:rsid w:val="00EA16AC"/>
    <w:rsid w:val="00EA385A"/>
    <w:rsid w:val="00EA3931"/>
    <w:rsid w:val="00EA658E"/>
    <w:rsid w:val="00EA7A88"/>
    <w:rsid w:val="00EB0546"/>
    <w:rsid w:val="00EB14E7"/>
    <w:rsid w:val="00EB27F2"/>
    <w:rsid w:val="00EB3928"/>
    <w:rsid w:val="00EB5373"/>
    <w:rsid w:val="00EB6C74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6F44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37B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749"/>
    <w:rsid w:val="00F164B4"/>
    <w:rsid w:val="00F176E4"/>
    <w:rsid w:val="00F20E5F"/>
    <w:rsid w:val="00F2411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AE7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321"/>
    <w:rsid w:val="00F5605D"/>
    <w:rsid w:val="00F6514B"/>
    <w:rsid w:val="00F6533E"/>
    <w:rsid w:val="00F6587F"/>
    <w:rsid w:val="00F67981"/>
    <w:rsid w:val="00F706CA"/>
    <w:rsid w:val="00F709E4"/>
    <w:rsid w:val="00F70F8D"/>
    <w:rsid w:val="00F71C5A"/>
    <w:rsid w:val="00F733A4"/>
    <w:rsid w:val="00F7758F"/>
    <w:rsid w:val="00F80E97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5E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5B0"/>
    <w:rsid w:val="00FF34C8"/>
    <w:rsid w:val="00FF4341"/>
    <w:rsid w:val="00FF517B"/>
    <w:rsid w:val="00FF5D6D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418DD-F8DC-489F-8DE0-52CA72C3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59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59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9BC"/>
    <w:rPr>
      <w:b/>
      <w:bCs/>
    </w:rPr>
  </w:style>
  <w:style w:type="paragraph" w:styleId="Revision">
    <w:name w:val="Revision"/>
    <w:hidden/>
    <w:uiPriority w:val="99"/>
    <w:semiHidden/>
    <w:rsid w:val="001A5634"/>
    <w:rPr>
      <w:sz w:val="24"/>
      <w:szCs w:val="24"/>
    </w:rPr>
  </w:style>
  <w:style w:type="character" w:styleId="Hyperlink">
    <w:name w:val="Hyperlink"/>
    <w:basedOn w:val="DefaultParagraphFont"/>
    <w:unhideWhenUsed/>
    <w:rsid w:val="00AA58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2410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HB00517 (Committee Report (Substituted))</vt:lpstr>
    </vt:vector>
  </TitlesOfParts>
  <Company>State of Texas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21432</dc:subject>
  <dc:creator>State of Texas</dc:creator>
  <dc:description>HB 517 by Harris Davila-(H)Trade, Workforce &amp; Economic Development (Substitute Document Number: 89R 11740)</dc:description>
  <cp:lastModifiedBy>Vanessa Andrade</cp:lastModifiedBy>
  <cp:revision>2</cp:revision>
  <cp:lastPrinted>2003-11-26T17:21:00Z</cp:lastPrinted>
  <dcterms:created xsi:type="dcterms:W3CDTF">2025-04-01T20:53:00Z</dcterms:created>
  <dcterms:modified xsi:type="dcterms:W3CDTF">2025-04-01T20:53:00Z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25.86.77</vt:lpwstr>
  </property>
</Properties>
</file>