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D43DD" w14:paraId="1DA953A9" w14:textId="77777777" w:rsidTr="00345119">
        <w:tc>
          <w:tcPr>
            <w:tcW w:w="9576" w:type="dxa"/>
            <w:noWrap/>
          </w:tcPr>
          <w:p w14:paraId="5899C1B6" w14:textId="77777777" w:rsidR="008423E4" w:rsidRPr="0022177D" w:rsidRDefault="00274808" w:rsidP="00A6176C">
            <w:pPr>
              <w:pStyle w:val="Heading1"/>
            </w:pPr>
            <w:r w:rsidRPr="00631897">
              <w:t>BILL ANALYSIS</w:t>
            </w:r>
          </w:p>
        </w:tc>
      </w:tr>
    </w:tbl>
    <w:p w14:paraId="03FB4D7E" w14:textId="77777777" w:rsidR="008423E4" w:rsidRPr="00262DA7" w:rsidRDefault="008423E4" w:rsidP="00A6176C">
      <w:pPr>
        <w:jc w:val="center"/>
        <w:rPr>
          <w:sz w:val="20"/>
          <w:szCs w:val="20"/>
        </w:rPr>
      </w:pPr>
    </w:p>
    <w:p w14:paraId="5AD89F1B" w14:textId="77777777" w:rsidR="008423E4" w:rsidRPr="00262DA7" w:rsidRDefault="008423E4" w:rsidP="00A6176C">
      <w:pPr>
        <w:rPr>
          <w:sz w:val="20"/>
          <w:szCs w:val="20"/>
        </w:rPr>
      </w:pPr>
    </w:p>
    <w:p w14:paraId="435CC1D3" w14:textId="77777777" w:rsidR="008423E4" w:rsidRPr="00262DA7" w:rsidRDefault="008423E4" w:rsidP="00A6176C">
      <w:pPr>
        <w:tabs>
          <w:tab w:val="right" w:pos="9360"/>
        </w:tabs>
        <w:rPr>
          <w:sz w:val="20"/>
          <w:szCs w:val="20"/>
        </w:rPr>
      </w:pPr>
    </w:p>
    <w:tbl>
      <w:tblPr>
        <w:tblW w:w="0" w:type="auto"/>
        <w:tblLayout w:type="fixed"/>
        <w:tblLook w:val="01E0" w:firstRow="1" w:lastRow="1" w:firstColumn="1" w:lastColumn="1" w:noHBand="0" w:noVBand="0"/>
      </w:tblPr>
      <w:tblGrid>
        <w:gridCol w:w="9576"/>
      </w:tblGrid>
      <w:tr w:rsidR="000D43DD" w14:paraId="705C8078" w14:textId="77777777" w:rsidTr="00345119">
        <w:tc>
          <w:tcPr>
            <w:tcW w:w="9576" w:type="dxa"/>
          </w:tcPr>
          <w:p w14:paraId="58848E86" w14:textId="161874E5" w:rsidR="008423E4" w:rsidRPr="00861995" w:rsidRDefault="00274808" w:rsidP="00A6176C">
            <w:pPr>
              <w:jc w:val="right"/>
            </w:pPr>
            <w:r>
              <w:t>H.B. 865</w:t>
            </w:r>
          </w:p>
        </w:tc>
      </w:tr>
      <w:tr w:rsidR="000D43DD" w14:paraId="11AF7435" w14:textId="77777777" w:rsidTr="00345119">
        <w:tc>
          <w:tcPr>
            <w:tcW w:w="9576" w:type="dxa"/>
          </w:tcPr>
          <w:p w14:paraId="27B97AF9" w14:textId="43492BAA" w:rsidR="008423E4" w:rsidRPr="00861995" w:rsidRDefault="00274808" w:rsidP="00A6176C">
            <w:pPr>
              <w:jc w:val="right"/>
            </w:pPr>
            <w:r>
              <w:t xml:space="preserve">By: </w:t>
            </w:r>
            <w:r w:rsidR="00A816D9">
              <w:t>Moody</w:t>
            </w:r>
          </w:p>
        </w:tc>
      </w:tr>
      <w:tr w:rsidR="000D43DD" w14:paraId="7A60945A" w14:textId="77777777" w:rsidTr="00345119">
        <w:tc>
          <w:tcPr>
            <w:tcW w:w="9576" w:type="dxa"/>
          </w:tcPr>
          <w:p w14:paraId="1309CF40" w14:textId="691CF49E" w:rsidR="008423E4" w:rsidRPr="00861995" w:rsidRDefault="00274808" w:rsidP="00A6176C">
            <w:pPr>
              <w:jc w:val="right"/>
            </w:pPr>
            <w:r>
              <w:t>Judiciary &amp; Civil Jurisprudence</w:t>
            </w:r>
          </w:p>
        </w:tc>
      </w:tr>
      <w:tr w:rsidR="000D43DD" w14:paraId="2F4080E5" w14:textId="77777777" w:rsidTr="00345119">
        <w:tc>
          <w:tcPr>
            <w:tcW w:w="9576" w:type="dxa"/>
          </w:tcPr>
          <w:p w14:paraId="6628332F" w14:textId="16E145C4" w:rsidR="008423E4" w:rsidRDefault="00274808" w:rsidP="00A6176C">
            <w:pPr>
              <w:jc w:val="right"/>
            </w:pPr>
            <w:r>
              <w:t>Committee Report (Unamended)</w:t>
            </w:r>
          </w:p>
        </w:tc>
      </w:tr>
    </w:tbl>
    <w:p w14:paraId="589D9D78" w14:textId="77777777" w:rsidR="008423E4" w:rsidRPr="00262DA7" w:rsidRDefault="008423E4" w:rsidP="00A6176C">
      <w:pPr>
        <w:tabs>
          <w:tab w:val="right" w:pos="9360"/>
        </w:tabs>
        <w:rPr>
          <w:sz w:val="20"/>
          <w:szCs w:val="20"/>
        </w:rPr>
      </w:pPr>
    </w:p>
    <w:p w14:paraId="31AEDAFD" w14:textId="77777777" w:rsidR="008423E4" w:rsidRPr="00262DA7" w:rsidRDefault="008423E4" w:rsidP="00A6176C">
      <w:pPr>
        <w:rPr>
          <w:sz w:val="20"/>
          <w:szCs w:val="20"/>
        </w:rPr>
      </w:pPr>
    </w:p>
    <w:p w14:paraId="1C13DFF3" w14:textId="77777777" w:rsidR="008423E4" w:rsidRPr="00262DA7" w:rsidRDefault="008423E4" w:rsidP="00A6176C">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0D43DD" w14:paraId="009169FC" w14:textId="77777777" w:rsidTr="00292FA3">
        <w:tc>
          <w:tcPr>
            <w:tcW w:w="9360" w:type="dxa"/>
          </w:tcPr>
          <w:p w14:paraId="41831E0E" w14:textId="77777777" w:rsidR="008423E4" w:rsidRPr="00A8133F" w:rsidRDefault="00274808" w:rsidP="00A6176C">
            <w:pPr>
              <w:rPr>
                <w:b/>
              </w:rPr>
            </w:pPr>
            <w:r w:rsidRPr="009C1E9A">
              <w:rPr>
                <w:b/>
                <w:u w:val="single"/>
              </w:rPr>
              <w:t>BACKGROUND AND PURPOSE</w:t>
            </w:r>
            <w:r>
              <w:rPr>
                <w:b/>
              </w:rPr>
              <w:t xml:space="preserve"> </w:t>
            </w:r>
          </w:p>
          <w:p w14:paraId="5E24E270" w14:textId="77777777" w:rsidR="008423E4" w:rsidRPr="00262DA7" w:rsidRDefault="008423E4" w:rsidP="00A6176C">
            <w:pPr>
              <w:rPr>
                <w:sz w:val="20"/>
                <w:szCs w:val="20"/>
              </w:rPr>
            </w:pPr>
          </w:p>
          <w:p w14:paraId="480FDD58" w14:textId="78D184DB" w:rsidR="008423E4" w:rsidRDefault="00274808" w:rsidP="00A6176C">
            <w:pPr>
              <w:pStyle w:val="Header"/>
              <w:tabs>
                <w:tab w:val="clear" w:pos="4320"/>
                <w:tab w:val="clear" w:pos="8640"/>
              </w:tabs>
              <w:jc w:val="both"/>
            </w:pPr>
            <w:r>
              <w:t xml:space="preserve">When firearm owners </w:t>
            </w:r>
            <w:r w:rsidR="00636094">
              <w:t>encounter a need to have their firearm safely held from them by a third</w:t>
            </w:r>
            <w:r w:rsidR="00762224">
              <w:t>-</w:t>
            </w:r>
            <w:r w:rsidR="00636094">
              <w:t>party</w:t>
            </w:r>
            <w:r w:rsidR="0061239C">
              <w:t xml:space="preserve"> institution</w:t>
            </w:r>
            <w:r w:rsidR="007306B0">
              <w:t>,</w:t>
            </w:r>
            <w:r w:rsidR="00636094">
              <w:t xml:space="preserve"> </w:t>
            </w:r>
            <w:r w:rsidR="00762224">
              <w:t>such as a</w:t>
            </w:r>
            <w:r w:rsidR="007306B0">
              <w:t xml:space="preserve"> federal firearms licensee, </w:t>
            </w:r>
            <w:r>
              <w:t>they</w:t>
            </w:r>
            <w:r w:rsidR="007306B0">
              <w:t xml:space="preserve"> often</w:t>
            </w:r>
            <w:r>
              <w:t xml:space="preserve"> </w:t>
            </w:r>
            <w:r w:rsidR="007306B0">
              <w:t>do so</w:t>
            </w:r>
            <w:r w:rsidR="00636094">
              <w:t xml:space="preserve"> under a</w:t>
            </w:r>
            <w:r w:rsidR="0061239C">
              <w:t xml:space="preserve"> hold</w:t>
            </w:r>
            <w:r w:rsidR="00636094">
              <w:t xml:space="preserve"> agreement</w:t>
            </w:r>
            <w:r w:rsidR="007306B0">
              <w:t xml:space="preserve"> for an established amount of time</w:t>
            </w:r>
            <w:r>
              <w:t xml:space="preserve">. </w:t>
            </w:r>
            <w:r w:rsidR="003D1380">
              <w:t xml:space="preserve">The bill author has informed the committee of concerns </w:t>
            </w:r>
            <w:r w:rsidRPr="00292FA3">
              <w:t>about the liability of such institutions upon the return of the firearm</w:t>
            </w:r>
            <w:r w:rsidR="00636094">
              <w:t xml:space="preserve"> to the owner</w:t>
            </w:r>
            <w:r w:rsidR="003D1380">
              <w:t xml:space="preserve"> </w:t>
            </w:r>
            <w:r w:rsidR="0061239C">
              <w:t>because</w:t>
            </w:r>
            <w:r w:rsidR="003D1380">
              <w:t xml:space="preserve"> </w:t>
            </w:r>
            <w:r w:rsidR="003D1380">
              <w:rPr>
                <w:color w:val="000000" w:themeColor="text1"/>
              </w:rPr>
              <w:t>c</w:t>
            </w:r>
            <w:r w:rsidRPr="003E329F">
              <w:rPr>
                <w:color w:val="000000" w:themeColor="text1"/>
              </w:rPr>
              <w:t xml:space="preserve">urrently, there is the possibility that </w:t>
            </w:r>
            <w:r>
              <w:rPr>
                <w:color w:val="000000" w:themeColor="text1"/>
              </w:rPr>
              <w:t xml:space="preserve">such </w:t>
            </w:r>
            <w:r w:rsidRPr="003E329F">
              <w:rPr>
                <w:color w:val="000000" w:themeColor="text1"/>
              </w:rPr>
              <w:t>institutions could get into legal trouble for the actions the owner takes after the firearm is returned to them</w:t>
            </w:r>
            <w:r w:rsidR="006043D3">
              <w:rPr>
                <w:color w:val="000000" w:themeColor="text1"/>
              </w:rPr>
              <w:t>,</w:t>
            </w:r>
            <w:r w:rsidR="003D1380">
              <w:rPr>
                <w:color w:val="000000" w:themeColor="text1"/>
              </w:rPr>
              <w:t xml:space="preserve"> and the</w:t>
            </w:r>
            <w:r w:rsidR="00676D52" w:rsidRPr="00676D52">
              <w:rPr>
                <w:color w:val="000000" w:themeColor="text1"/>
              </w:rPr>
              <w:t xml:space="preserve"> </w:t>
            </w:r>
            <w:r w:rsidR="003D1380">
              <w:rPr>
                <w:color w:val="000000" w:themeColor="text1"/>
              </w:rPr>
              <w:t>institutions</w:t>
            </w:r>
            <w:r w:rsidR="00676D52" w:rsidRPr="00676D52">
              <w:rPr>
                <w:color w:val="000000" w:themeColor="text1"/>
              </w:rPr>
              <w:t xml:space="preserve"> should not be held responsible for </w:t>
            </w:r>
            <w:r w:rsidR="003D1380">
              <w:rPr>
                <w:color w:val="000000" w:themeColor="text1"/>
              </w:rPr>
              <w:t>any of the owner's</w:t>
            </w:r>
            <w:r w:rsidR="00676D52" w:rsidRPr="00676D52">
              <w:rPr>
                <w:color w:val="000000" w:themeColor="text1"/>
              </w:rPr>
              <w:t xml:space="preserve"> actions with the firearm that result in personal injury or death</w:t>
            </w:r>
            <w:r w:rsidR="003D1380">
              <w:rPr>
                <w:color w:val="000000" w:themeColor="text1"/>
              </w:rPr>
              <w:t>.</w:t>
            </w:r>
            <w:r w:rsidR="00676D52" w:rsidRPr="00676D52">
              <w:rPr>
                <w:color w:val="000000" w:themeColor="text1"/>
              </w:rPr>
              <w:t xml:space="preserve"> </w:t>
            </w:r>
            <w:r w:rsidR="00E013BC">
              <w:t>H.B.</w:t>
            </w:r>
            <w:r w:rsidR="00887436">
              <w:t> </w:t>
            </w:r>
            <w:r w:rsidR="00E013BC">
              <w:t>865</w:t>
            </w:r>
            <w:r w:rsidRPr="00292FA3">
              <w:t xml:space="preserve"> seeks to address this issue</w:t>
            </w:r>
            <w:r w:rsidR="00405BFB">
              <w:t xml:space="preserve"> </w:t>
            </w:r>
            <w:r w:rsidR="00762224">
              <w:t>by</w:t>
            </w:r>
            <w:r w:rsidRPr="00292FA3">
              <w:t xml:space="preserve"> </w:t>
            </w:r>
            <w:r w:rsidR="00405BFB">
              <w:t>shield</w:t>
            </w:r>
            <w:r w:rsidR="00762224">
              <w:t>ing</w:t>
            </w:r>
            <w:r w:rsidR="00405BFB">
              <w:t xml:space="preserve"> a </w:t>
            </w:r>
            <w:r>
              <w:t>federal firearm</w:t>
            </w:r>
            <w:r w:rsidR="00405BFB">
              <w:t>s</w:t>
            </w:r>
            <w:r>
              <w:t xml:space="preserve"> licensee operating lawfully in </w:t>
            </w:r>
            <w:r w:rsidR="00405BFB">
              <w:t>Texas</w:t>
            </w:r>
            <w:r>
              <w:t xml:space="preserve"> </w:t>
            </w:r>
            <w:r w:rsidR="00762224">
              <w:t xml:space="preserve">from civil liability </w:t>
            </w:r>
            <w:r>
              <w:t xml:space="preserve">for </w:t>
            </w:r>
            <w:r w:rsidR="008F7499">
              <w:t xml:space="preserve">an </w:t>
            </w:r>
            <w:r>
              <w:t xml:space="preserve">act or </w:t>
            </w:r>
            <w:r w:rsidR="00977142">
              <w:t>omission</w:t>
            </w:r>
            <w:r>
              <w:t xml:space="preserve"> </w:t>
            </w:r>
            <w:r w:rsidR="00405BFB">
              <w:t>arising from</w:t>
            </w:r>
            <w:r>
              <w:t xml:space="preserve"> a firearm hold agreement</w:t>
            </w:r>
            <w:r w:rsidR="00405BFB">
              <w:t xml:space="preserve"> that results in personal injury or death</w:t>
            </w:r>
            <w:r>
              <w:t xml:space="preserve">, other than for </w:t>
            </w:r>
            <w:r w:rsidR="00762224">
              <w:t xml:space="preserve">the </w:t>
            </w:r>
            <w:r>
              <w:t>unlawful conduct or gross negligence</w:t>
            </w:r>
            <w:r w:rsidR="00405BFB">
              <w:t xml:space="preserve"> of the licensee</w:t>
            </w:r>
            <w:r>
              <w:t>.</w:t>
            </w:r>
          </w:p>
          <w:p w14:paraId="23AB6012" w14:textId="77777777" w:rsidR="008423E4" w:rsidRPr="00262DA7" w:rsidRDefault="008423E4" w:rsidP="00A6176C">
            <w:pPr>
              <w:rPr>
                <w:b/>
                <w:sz w:val="20"/>
                <w:szCs w:val="20"/>
              </w:rPr>
            </w:pPr>
          </w:p>
        </w:tc>
      </w:tr>
      <w:tr w:rsidR="000D43DD" w14:paraId="55CF7312" w14:textId="77777777" w:rsidTr="00292FA3">
        <w:tc>
          <w:tcPr>
            <w:tcW w:w="9360" w:type="dxa"/>
          </w:tcPr>
          <w:p w14:paraId="659B9B0C" w14:textId="77777777" w:rsidR="0017725B" w:rsidRDefault="00274808" w:rsidP="00A6176C">
            <w:pPr>
              <w:rPr>
                <w:b/>
                <w:u w:val="single"/>
              </w:rPr>
            </w:pPr>
            <w:r>
              <w:rPr>
                <w:b/>
                <w:u w:val="single"/>
              </w:rPr>
              <w:t>CRIMINAL JUSTICE IMPACT</w:t>
            </w:r>
          </w:p>
          <w:p w14:paraId="1D980589" w14:textId="77777777" w:rsidR="0017725B" w:rsidRDefault="0017725B" w:rsidP="00A6176C">
            <w:pPr>
              <w:rPr>
                <w:b/>
                <w:u w:val="single"/>
              </w:rPr>
            </w:pPr>
          </w:p>
          <w:p w14:paraId="1DC1E205" w14:textId="32089B9B" w:rsidR="00292FA3" w:rsidRPr="00292FA3" w:rsidRDefault="00274808" w:rsidP="00A6176C">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1BE5B14C" w14:textId="77777777" w:rsidR="0017725B" w:rsidRPr="0017725B" w:rsidRDefault="0017725B" w:rsidP="00A6176C">
            <w:pPr>
              <w:rPr>
                <w:b/>
                <w:u w:val="single"/>
              </w:rPr>
            </w:pPr>
          </w:p>
        </w:tc>
      </w:tr>
      <w:tr w:rsidR="000D43DD" w14:paraId="48B40AA9" w14:textId="77777777" w:rsidTr="00292FA3">
        <w:tc>
          <w:tcPr>
            <w:tcW w:w="9360" w:type="dxa"/>
          </w:tcPr>
          <w:p w14:paraId="127E57CD" w14:textId="77777777" w:rsidR="008423E4" w:rsidRPr="00A8133F" w:rsidRDefault="00274808" w:rsidP="00A6176C">
            <w:pPr>
              <w:rPr>
                <w:b/>
              </w:rPr>
            </w:pPr>
            <w:r w:rsidRPr="009C1E9A">
              <w:rPr>
                <w:b/>
                <w:u w:val="single"/>
              </w:rPr>
              <w:t>RULEMAKING AUTHORITY</w:t>
            </w:r>
            <w:r>
              <w:rPr>
                <w:b/>
              </w:rPr>
              <w:t xml:space="preserve"> </w:t>
            </w:r>
          </w:p>
          <w:p w14:paraId="13FB1A48" w14:textId="77777777" w:rsidR="008423E4" w:rsidRDefault="008423E4" w:rsidP="00A6176C"/>
          <w:p w14:paraId="6D7B6CCA" w14:textId="33098568" w:rsidR="00292FA3" w:rsidRDefault="00274808" w:rsidP="00A6176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B522075" w14:textId="77777777" w:rsidR="008423E4" w:rsidRPr="00E21FDC" w:rsidRDefault="008423E4" w:rsidP="00A6176C">
            <w:pPr>
              <w:rPr>
                <w:b/>
              </w:rPr>
            </w:pPr>
          </w:p>
        </w:tc>
      </w:tr>
      <w:tr w:rsidR="000D43DD" w14:paraId="3F2371D4" w14:textId="77777777" w:rsidTr="00292FA3">
        <w:tc>
          <w:tcPr>
            <w:tcW w:w="9360" w:type="dxa"/>
          </w:tcPr>
          <w:p w14:paraId="06B4D0BF" w14:textId="77777777" w:rsidR="00292FA3" w:rsidRPr="00A8133F" w:rsidRDefault="00274808" w:rsidP="00A6176C">
            <w:pPr>
              <w:rPr>
                <w:b/>
              </w:rPr>
            </w:pPr>
            <w:r w:rsidRPr="009C1E9A">
              <w:rPr>
                <w:b/>
                <w:u w:val="single"/>
              </w:rPr>
              <w:t>ANALYSIS</w:t>
            </w:r>
            <w:r>
              <w:rPr>
                <w:b/>
              </w:rPr>
              <w:t xml:space="preserve"> </w:t>
            </w:r>
          </w:p>
          <w:p w14:paraId="61B8EAF4" w14:textId="1144EE4A" w:rsidR="00292FA3" w:rsidRDefault="00274808" w:rsidP="00A6176C">
            <w:r>
              <w:t xml:space="preserve"> </w:t>
            </w:r>
          </w:p>
          <w:p w14:paraId="0E1A7BFE" w14:textId="591AD672" w:rsidR="00292FA3" w:rsidRDefault="00274808" w:rsidP="00A6176C">
            <w:pPr>
              <w:pStyle w:val="Header"/>
              <w:tabs>
                <w:tab w:val="clear" w:pos="4320"/>
                <w:tab w:val="clear" w:pos="8640"/>
              </w:tabs>
              <w:jc w:val="both"/>
            </w:pPr>
            <w:r>
              <w:t xml:space="preserve">H.B. 865 amends the </w:t>
            </w:r>
            <w:r w:rsidRPr="00502BB1">
              <w:t>Civil Practice and Remedies Code</w:t>
            </w:r>
            <w:r>
              <w:t xml:space="preserve"> to </w:t>
            </w:r>
            <w:r w:rsidR="00676D52">
              <w:t xml:space="preserve">establish that a person does not have a cause of action against </w:t>
            </w:r>
            <w:r>
              <w:t xml:space="preserve">a federal firearms licensee operating lawfully in Texas for any act or omission arising from a firearm hold agreement that results </w:t>
            </w:r>
            <w:r w:rsidRPr="00502BB1">
              <w:t>in personal injury or death, including the return of a firearm to the owner by the licensee at the termination of the agreement.</w:t>
            </w:r>
            <w:r>
              <w:t xml:space="preserve"> Th</w:t>
            </w:r>
            <w:r w:rsidR="00676D52">
              <w:t>is</w:t>
            </w:r>
            <w:r>
              <w:t xml:space="preserve"> immunity from civil liability </w:t>
            </w:r>
            <w:r w:rsidRPr="00A36820">
              <w:t>does not apply to a cause of action arising from the unlawful conduct or gross negligence of the licensee.</w:t>
            </w:r>
          </w:p>
          <w:p w14:paraId="29138196" w14:textId="77777777" w:rsidR="00292FA3" w:rsidRPr="00262DA7" w:rsidRDefault="00292FA3" w:rsidP="00A6176C">
            <w:pPr>
              <w:pStyle w:val="Header"/>
              <w:tabs>
                <w:tab w:val="clear" w:pos="4320"/>
                <w:tab w:val="clear" w:pos="8640"/>
              </w:tabs>
              <w:jc w:val="both"/>
              <w:rPr>
                <w:sz w:val="20"/>
                <w:szCs w:val="20"/>
              </w:rPr>
            </w:pPr>
          </w:p>
          <w:p w14:paraId="6C5F27D0" w14:textId="52AB83AC" w:rsidR="00292FA3" w:rsidRDefault="00274808" w:rsidP="00A6176C">
            <w:pPr>
              <w:pStyle w:val="Header"/>
              <w:tabs>
                <w:tab w:val="clear" w:pos="4320"/>
                <w:tab w:val="clear" w:pos="8640"/>
              </w:tabs>
              <w:jc w:val="both"/>
            </w:pPr>
            <w:r>
              <w:t>H.B. 865 defines the following terms</w:t>
            </w:r>
            <w:r w:rsidR="0062541D">
              <w:t xml:space="preserve"> </w:t>
            </w:r>
            <w:r w:rsidR="0062541D" w:rsidRPr="0062541D">
              <w:t>for purposes of the bill's provisions</w:t>
            </w:r>
            <w:r>
              <w:t>:</w:t>
            </w:r>
          </w:p>
          <w:p w14:paraId="767A8192" w14:textId="7DD88B97" w:rsidR="00292FA3" w:rsidRDefault="00274808" w:rsidP="00A6176C">
            <w:pPr>
              <w:pStyle w:val="Header"/>
              <w:numPr>
                <w:ilvl w:val="0"/>
                <w:numId w:val="1"/>
              </w:numPr>
              <w:jc w:val="both"/>
            </w:pPr>
            <w:r>
              <w:t>"federal firearms licensee" as any person licensed under the federal Gun Control Act</w:t>
            </w:r>
            <w:r w:rsidR="00346F0B">
              <w:t xml:space="preserve"> of 1968</w:t>
            </w:r>
            <w:r>
              <w:t>;</w:t>
            </w:r>
          </w:p>
          <w:p w14:paraId="54C9B061" w14:textId="77777777" w:rsidR="00292FA3" w:rsidRDefault="00274808" w:rsidP="00A6176C">
            <w:pPr>
              <w:pStyle w:val="Header"/>
              <w:numPr>
                <w:ilvl w:val="0"/>
                <w:numId w:val="1"/>
              </w:numPr>
              <w:jc w:val="both"/>
            </w:pPr>
            <w:r>
              <w:t>"firearm" as any device designed, made, or adapted to expel a projectile through a barrel by using the energy generated by an explosion or burning substance or any device readily convertible to that use; and</w:t>
            </w:r>
          </w:p>
          <w:p w14:paraId="58805A45" w14:textId="77777777" w:rsidR="00292FA3" w:rsidRDefault="00274808" w:rsidP="00A6176C">
            <w:pPr>
              <w:pStyle w:val="Header"/>
              <w:numPr>
                <w:ilvl w:val="0"/>
                <w:numId w:val="1"/>
              </w:numPr>
              <w:tabs>
                <w:tab w:val="clear" w:pos="4320"/>
                <w:tab w:val="clear" w:pos="8640"/>
              </w:tabs>
              <w:jc w:val="both"/>
            </w:pPr>
            <w:r>
              <w:t>"firearm hold agreement" as a private transaction between a federal firearms licensee and an individual firearm owner in which the licensee takes physical possession of the owner's lawfully possessed firearm at the owner's request, holds the firearm for an agreed period of time, and returns the firearm to the owner according to the terms of the agreement.</w:t>
            </w:r>
          </w:p>
          <w:p w14:paraId="4F13EB86" w14:textId="77777777" w:rsidR="00292FA3" w:rsidRPr="00262DA7" w:rsidRDefault="00292FA3" w:rsidP="00A6176C">
            <w:pPr>
              <w:pStyle w:val="Header"/>
              <w:tabs>
                <w:tab w:val="clear" w:pos="4320"/>
                <w:tab w:val="clear" w:pos="8640"/>
              </w:tabs>
              <w:jc w:val="both"/>
              <w:rPr>
                <w:sz w:val="20"/>
                <w:szCs w:val="20"/>
              </w:rPr>
            </w:pPr>
          </w:p>
          <w:p w14:paraId="4A3F4115" w14:textId="18E731C8" w:rsidR="00292FA3" w:rsidRDefault="00274808" w:rsidP="00A6176C">
            <w:pPr>
              <w:pStyle w:val="Header"/>
              <w:tabs>
                <w:tab w:val="clear" w:pos="4320"/>
                <w:tab w:val="clear" w:pos="8640"/>
              </w:tabs>
              <w:jc w:val="both"/>
            </w:pPr>
            <w:r w:rsidRPr="00E813F6">
              <w:t xml:space="preserve">H.B. 865 </w:t>
            </w:r>
            <w:r>
              <w:t xml:space="preserve">does not </w:t>
            </w:r>
            <w:r w:rsidRPr="00A36820">
              <w:t xml:space="preserve">apply to a cause of action that accrued before the </w:t>
            </w:r>
            <w:r>
              <w:t xml:space="preserve">bill's </w:t>
            </w:r>
            <w:r w:rsidRPr="00A36820">
              <w:t>effective date</w:t>
            </w:r>
            <w:r>
              <w:t>.</w:t>
            </w:r>
          </w:p>
          <w:p w14:paraId="0591A2E9" w14:textId="77777777" w:rsidR="00292FA3" w:rsidRPr="00262DA7" w:rsidRDefault="00292FA3" w:rsidP="00A6176C">
            <w:pPr>
              <w:rPr>
                <w:b/>
                <w:sz w:val="20"/>
                <w:szCs w:val="20"/>
              </w:rPr>
            </w:pPr>
          </w:p>
        </w:tc>
      </w:tr>
      <w:tr w:rsidR="000D43DD" w14:paraId="1FECF991" w14:textId="77777777" w:rsidTr="00292FA3">
        <w:tc>
          <w:tcPr>
            <w:tcW w:w="9360" w:type="dxa"/>
          </w:tcPr>
          <w:p w14:paraId="18D4B8D3" w14:textId="77777777" w:rsidR="00292FA3" w:rsidRPr="00A8133F" w:rsidRDefault="00274808" w:rsidP="00A6176C">
            <w:pPr>
              <w:rPr>
                <w:b/>
              </w:rPr>
            </w:pPr>
            <w:r w:rsidRPr="009C1E9A">
              <w:rPr>
                <w:b/>
                <w:u w:val="single"/>
              </w:rPr>
              <w:t>EFFECTIVE DATE</w:t>
            </w:r>
            <w:r>
              <w:rPr>
                <w:b/>
              </w:rPr>
              <w:t xml:space="preserve"> </w:t>
            </w:r>
          </w:p>
          <w:p w14:paraId="33C32662" w14:textId="77777777" w:rsidR="00292FA3" w:rsidRDefault="00292FA3" w:rsidP="00A6176C"/>
          <w:p w14:paraId="40372E03" w14:textId="1CC9A823" w:rsidR="008423E4" w:rsidRPr="00262DA7" w:rsidRDefault="00274808" w:rsidP="00A6176C">
            <w:pPr>
              <w:pStyle w:val="Header"/>
              <w:tabs>
                <w:tab w:val="clear" w:pos="4320"/>
                <w:tab w:val="clear" w:pos="8640"/>
              </w:tabs>
              <w:jc w:val="both"/>
            </w:pPr>
            <w:r>
              <w:t xml:space="preserve">September 1, </w:t>
            </w:r>
            <w:r w:rsidR="005105F9">
              <w:t>2025</w:t>
            </w:r>
            <w:r>
              <w:t>.</w:t>
            </w:r>
          </w:p>
        </w:tc>
      </w:tr>
    </w:tbl>
    <w:p w14:paraId="5F45DB68" w14:textId="77777777" w:rsidR="004108C3" w:rsidRPr="00262DA7" w:rsidRDefault="004108C3" w:rsidP="00A6176C">
      <w:pPr>
        <w:rPr>
          <w:sz w:val="4"/>
          <w:szCs w:val="4"/>
        </w:rPr>
      </w:pPr>
    </w:p>
    <w:sectPr w:rsidR="004108C3" w:rsidRPr="00262DA7"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6682" w14:textId="77777777" w:rsidR="00274808" w:rsidRDefault="00274808">
      <w:r>
        <w:separator/>
      </w:r>
    </w:p>
  </w:endnote>
  <w:endnote w:type="continuationSeparator" w:id="0">
    <w:p w14:paraId="4A8195B7" w14:textId="77777777" w:rsidR="00274808" w:rsidRDefault="0027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377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D43DD" w14:paraId="20D60DDB" w14:textId="77777777" w:rsidTr="009C1E9A">
      <w:trPr>
        <w:cantSplit/>
      </w:trPr>
      <w:tc>
        <w:tcPr>
          <w:tcW w:w="0" w:type="pct"/>
        </w:tcPr>
        <w:p w14:paraId="303E49E6" w14:textId="77777777" w:rsidR="00137D90" w:rsidRDefault="00137D90" w:rsidP="009C1E9A">
          <w:pPr>
            <w:pStyle w:val="Footer"/>
            <w:tabs>
              <w:tab w:val="clear" w:pos="8640"/>
              <w:tab w:val="right" w:pos="9360"/>
            </w:tabs>
          </w:pPr>
        </w:p>
      </w:tc>
      <w:tc>
        <w:tcPr>
          <w:tcW w:w="2395" w:type="pct"/>
        </w:tcPr>
        <w:p w14:paraId="60A5CA8E" w14:textId="77777777" w:rsidR="00137D90" w:rsidRDefault="00137D90" w:rsidP="009C1E9A">
          <w:pPr>
            <w:pStyle w:val="Footer"/>
            <w:tabs>
              <w:tab w:val="clear" w:pos="8640"/>
              <w:tab w:val="right" w:pos="9360"/>
            </w:tabs>
          </w:pPr>
        </w:p>
        <w:p w14:paraId="535886CC" w14:textId="77777777" w:rsidR="001A4310" w:rsidRDefault="001A4310" w:rsidP="009C1E9A">
          <w:pPr>
            <w:pStyle w:val="Footer"/>
            <w:tabs>
              <w:tab w:val="clear" w:pos="8640"/>
              <w:tab w:val="right" w:pos="9360"/>
            </w:tabs>
          </w:pPr>
        </w:p>
        <w:p w14:paraId="06381874" w14:textId="77777777" w:rsidR="00137D90" w:rsidRDefault="00137D90" w:rsidP="009C1E9A">
          <w:pPr>
            <w:pStyle w:val="Footer"/>
            <w:tabs>
              <w:tab w:val="clear" w:pos="8640"/>
              <w:tab w:val="right" w:pos="9360"/>
            </w:tabs>
          </w:pPr>
        </w:p>
      </w:tc>
      <w:tc>
        <w:tcPr>
          <w:tcW w:w="2453" w:type="pct"/>
        </w:tcPr>
        <w:p w14:paraId="310ED389" w14:textId="77777777" w:rsidR="00137D90" w:rsidRDefault="00137D90" w:rsidP="009C1E9A">
          <w:pPr>
            <w:pStyle w:val="Footer"/>
            <w:tabs>
              <w:tab w:val="clear" w:pos="8640"/>
              <w:tab w:val="right" w:pos="9360"/>
            </w:tabs>
            <w:jc w:val="right"/>
          </w:pPr>
        </w:p>
      </w:tc>
    </w:tr>
    <w:tr w:rsidR="000D43DD" w14:paraId="5E02FDE3" w14:textId="77777777" w:rsidTr="009C1E9A">
      <w:trPr>
        <w:cantSplit/>
      </w:trPr>
      <w:tc>
        <w:tcPr>
          <w:tcW w:w="0" w:type="pct"/>
        </w:tcPr>
        <w:p w14:paraId="4EDE514A" w14:textId="77777777" w:rsidR="00EC379B" w:rsidRDefault="00EC379B" w:rsidP="009C1E9A">
          <w:pPr>
            <w:pStyle w:val="Footer"/>
            <w:tabs>
              <w:tab w:val="clear" w:pos="8640"/>
              <w:tab w:val="right" w:pos="9360"/>
            </w:tabs>
          </w:pPr>
        </w:p>
      </w:tc>
      <w:tc>
        <w:tcPr>
          <w:tcW w:w="2395" w:type="pct"/>
        </w:tcPr>
        <w:p w14:paraId="41E16FB4" w14:textId="75A1ABD4" w:rsidR="00EC379B" w:rsidRPr="009C1E9A" w:rsidRDefault="00274808" w:rsidP="009C1E9A">
          <w:pPr>
            <w:pStyle w:val="Footer"/>
            <w:tabs>
              <w:tab w:val="clear" w:pos="8640"/>
              <w:tab w:val="right" w:pos="9360"/>
            </w:tabs>
            <w:rPr>
              <w:rFonts w:ascii="Shruti" w:hAnsi="Shruti"/>
              <w:sz w:val="22"/>
            </w:rPr>
          </w:pPr>
          <w:r>
            <w:rPr>
              <w:rFonts w:ascii="Shruti" w:hAnsi="Shruti"/>
              <w:sz w:val="22"/>
            </w:rPr>
            <w:t>89R 21555-D</w:t>
          </w:r>
        </w:p>
      </w:tc>
      <w:tc>
        <w:tcPr>
          <w:tcW w:w="2453" w:type="pct"/>
        </w:tcPr>
        <w:p w14:paraId="008734D8" w14:textId="5A1A5A73" w:rsidR="00EC379B" w:rsidRDefault="00274808" w:rsidP="009C1E9A">
          <w:pPr>
            <w:pStyle w:val="Footer"/>
            <w:tabs>
              <w:tab w:val="clear" w:pos="8640"/>
              <w:tab w:val="right" w:pos="9360"/>
            </w:tabs>
            <w:jc w:val="right"/>
          </w:pPr>
          <w:r>
            <w:fldChar w:fldCharType="begin"/>
          </w:r>
          <w:r>
            <w:instrText xml:space="preserve"> DOCPROPERTY  OTID  \* MERGEFORMAT </w:instrText>
          </w:r>
          <w:r>
            <w:fldChar w:fldCharType="separate"/>
          </w:r>
          <w:r w:rsidR="00361C3A">
            <w:t>25.87.75</w:t>
          </w:r>
          <w:r>
            <w:fldChar w:fldCharType="end"/>
          </w:r>
        </w:p>
      </w:tc>
    </w:tr>
    <w:tr w:rsidR="000D43DD" w14:paraId="22270127" w14:textId="77777777" w:rsidTr="009C1E9A">
      <w:trPr>
        <w:cantSplit/>
      </w:trPr>
      <w:tc>
        <w:tcPr>
          <w:tcW w:w="0" w:type="pct"/>
        </w:tcPr>
        <w:p w14:paraId="33D2C8E1" w14:textId="77777777" w:rsidR="00EC379B" w:rsidRDefault="00EC379B" w:rsidP="009C1E9A">
          <w:pPr>
            <w:pStyle w:val="Footer"/>
            <w:tabs>
              <w:tab w:val="clear" w:pos="4320"/>
              <w:tab w:val="clear" w:pos="8640"/>
              <w:tab w:val="left" w:pos="2865"/>
            </w:tabs>
          </w:pPr>
        </w:p>
      </w:tc>
      <w:tc>
        <w:tcPr>
          <w:tcW w:w="2395" w:type="pct"/>
        </w:tcPr>
        <w:p w14:paraId="387135C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A281B08" w14:textId="77777777" w:rsidR="00EC379B" w:rsidRDefault="00EC379B" w:rsidP="006D504F">
          <w:pPr>
            <w:pStyle w:val="Footer"/>
            <w:rPr>
              <w:rStyle w:val="PageNumber"/>
            </w:rPr>
          </w:pPr>
        </w:p>
        <w:p w14:paraId="1FA1EDA8" w14:textId="77777777" w:rsidR="00EC379B" w:rsidRDefault="00EC379B" w:rsidP="009C1E9A">
          <w:pPr>
            <w:pStyle w:val="Footer"/>
            <w:tabs>
              <w:tab w:val="clear" w:pos="8640"/>
              <w:tab w:val="right" w:pos="9360"/>
            </w:tabs>
            <w:jc w:val="right"/>
          </w:pPr>
        </w:p>
      </w:tc>
    </w:tr>
    <w:tr w:rsidR="000D43DD" w14:paraId="026B9FD3" w14:textId="77777777" w:rsidTr="009C1E9A">
      <w:trPr>
        <w:cantSplit/>
        <w:trHeight w:val="323"/>
      </w:trPr>
      <w:tc>
        <w:tcPr>
          <w:tcW w:w="0" w:type="pct"/>
          <w:gridSpan w:val="3"/>
        </w:tcPr>
        <w:p w14:paraId="4D63F4B5" w14:textId="77777777" w:rsidR="00EC379B" w:rsidRDefault="0027480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EAF9ECC" w14:textId="77777777" w:rsidR="00EC379B" w:rsidRDefault="00EC379B" w:rsidP="009C1E9A">
          <w:pPr>
            <w:pStyle w:val="Footer"/>
            <w:tabs>
              <w:tab w:val="clear" w:pos="8640"/>
              <w:tab w:val="right" w:pos="9360"/>
            </w:tabs>
            <w:jc w:val="center"/>
          </w:pPr>
        </w:p>
      </w:tc>
    </w:tr>
  </w:tbl>
  <w:p w14:paraId="75DF1F7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550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B171" w14:textId="77777777" w:rsidR="00274808" w:rsidRDefault="00274808">
      <w:r>
        <w:separator/>
      </w:r>
    </w:p>
  </w:footnote>
  <w:footnote w:type="continuationSeparator" w:id="0">
    <w:p w14:paraId="73C9CE97" w14:textId="77777777" w:rsidR="00274808" w:rsidRDefault="0027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B47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E48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ACC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105C1"/>
    <w:multiLevelType w:val="hybridMultilevel"/>
    <w:tmpl w:val="B3FA118C"/>
    <w:lvl w:ilvl="0" w:tplc="936040E8">
      <w:start w:val="1"/>
      <w:numFmt w:val="bullet"/>
      <w:lvlText w:val=""/>
      <w:lvlJc w:val="left"/>
      <w:pPr>
        <w:tabs>
          <w:tab w:val="num" w:pos="720"/>
        </w:tabs>
        <w:ind w:left="720" w:hanging="360"/>
      </w:pPr>
      <w:rPr>
        <w:rFonts w:ascii="Symbol" w:hAnsi="Symbol" w:hint="default"/>
      </w:rPr>
    </w:lvl>
    <w:lvl w:ilvl="1" w:tplc="633A39FE" w:tentative="1">
      <w:start w:val="1"/>
      <w:numFmt w:val="bullet"/>
      <w:lvlText w:val="o"/>
      <w:lvlJc w:val="left"/>
      <w:pPr>
        <w:ind w:left="1440" w:hanging="360"/>
      </w:pPr>
      <w:rPr>
        <w:rFonts w:ascii="Courier New" w:hAnsi="Courier New" w:cs="Courier New" w:hint="default"/>
      </w:rPr>
    </w:lvl>
    <w:lvl w:ilvl="2" w:tplc="41DCEA08" w:tentative="1">
      <w:start w:val="1"/>
      <w:numFmt w:val="bullet"/>
      <w:lvlText w:val=""/>
      <w:lvlJc w:val="left"/>
      <w:pPr>
        <w:ind w:left="2160" w:hanging="360"/>
      </w:pPr>
      <w:rPr>
        <w:rFonts w:ascii="Wingdings" w:hAnsi="Wingdings" w:hint="default"/>
      </w:rPr>
    </w:lvl>
    <w:lvl w:ilvl="3" w:tplc="E68E60B2" w:tentative="1">
      <w:start w:val="1"/>
      <w:numFmt w:val="bullet"/>
      <w:lvlText w:val=""/>
      <w:lvlJc w:val="left"/>
      <w:pPr>
        <w:ind w:left="2880" w:hanging="360"/>
      </w:pPr>
      <w:rPr>
        <w:rFonts w:ascii="Symbol" w:hAnsi="Symbol" w:hint="default"/>
      </w:rPr>
    </w:lvl>
    <w:lvl w:ilvl="4" w:tplc="1DB8793A" w:tentative="1">
      <w:start w:val="1"/>
      <w:numFmt w:val="bullet"/>
      <w:lvlText w:val="o"/>
      <w:lvlJc w:val="left"/>
      <w:pPr>
        <w:ind w:left="3600" w:hanging="360"/>
      </w:pPr>
      <w:rPr>
        <w:rFonts w:ascii="Courier New" w:hAnsi="Courier New" w:cs="Courier New" w:hint="default"/>
      </w:rPr>
    </w:lvl>
    <w:lvl w:ilvl="5" w:tplc="113C99A4" w:tentative="1">
      <w:start w:val="1"/>
      <w:numFmt w:val="bullet"/>
      <w:lvlText w:val=""/>
      <w:lvlJc w:val="left"/>
      <w:pPr>
        <w:ind w:left="4320" w:hanging="360"/>
      </w:pPr>
      <w:rPr>
        <w:rFonts w:ascii="Wingdings" w:hAnsi="Wingdings" w:hint="default"/>
      </w:rPr>
    </w:lvl>
    <w:lvl w:ilvl="6" w:tplc="B5120122" w:tentative="1">
      <w:start w:val="1"/>
      <w:numFmt w:val="bullet"/>
      <w:lvlText w:val=""/>
      <w:lvlJc w:val="left"/>
      <w:pPr>
        <w:ind w:left="5040" w:hanging="360"/>
      </w:pPr>
      <w:rPr>
        <w:rFonts w:ascii="Symbol" w:hAnsi="Symbol" w:hint="default"/>
      </w:rPr>
    </w:lvl>
    <w:lvl w:ilvl="7" w:tplc="B23C372C" w:tentative="1">
      <w:start w:val="1"/>
      <w:numFmt w:val="bullet"/>
      <w:lvlText w:val="o"/>
      <w:lvlJc w:val="left"/>
      <w:pPr>
        <w:ind w:left="5760" w:hanging="360"/>
      </w:pPr>
      <w:rPr>
        <w:rFonts w:ascii="Courier New" w:hAnsi="Courier New" w:cs="Courier New" w:hint="default"/>
      </w:rPr>
    </w:lvl>
    <w:lvl w:ilvl="8" w:tplc="FE104CBA" w:tentative="1">
      <w:start w:val="1"/>
      <w:numFmt w:val="bullet"/>
      <w:lvlText w:val=""/>
      <w:lvlJc w:val="left"/>
      <w:pPr>
        <w:ind w:left="6480" w:hanging="360"/>
      </w:pPr>
      <w:rPr>
        <w:rFonts w:ascii="Wingdings" w:hAnsi="Wingdings" w:hint="default"/>
      </w:rPr>
    </w:lvl>
  </w:abstractNum>
  <w:num w:numId="1" w16cid:durableId="90780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B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AFF"/>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13FA"/>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3DD"/>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3"/>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395E"/>
    <w:rsid w:val="0019457A"/>
    <w:rsid w:val="00195257"/>
    <w:rsid w:val="00195388"/>
    <w:rsid w:val="0019539E"/>
    <w:rsid w:val="001968BC"/>
    <w:rsid w:val="001A0739"/>
    <w:rsid w:val="001A0F00"/>
    <w:rsid w:val="001A2BDD"/>
    <w:rsid w:val="001A3DDF"/>
    <w:rsid w:val="001A4310"/>
    <w:rsid w:val="001B053A"/>
    <w:rsid w:val="001B1405"/>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6BE8"/>
    <w:rsid w:val="0024077A"/>
    <w:rsid w:val="00241EC1"/>
    <w:rsid w:val="002426D7"/>
    <w:rsid w:val="002431DA"/>
    <w:rsid w:val="0024691D"/>
    <w:rsid w:val="00247D27"/>
    <w:rsid w:val="00250A50"/>
    <w:rsid w:val="00251ED5"/>
    <w:rsid w:val="00255EB6"/>
    <w:rsid w:val="00257429"/>
    <w:rsid w:val="00260FA4"/>
    <w:rsid w:val="00261183"/>
    <w:rsid w:val="00262A66"/>
    <w:rsid w:val="00262DA7"/>
    <w:rsid w:val="00263140"/>
    <w:rsid w:val="002631C8"/>
    <w:rsid w:val="00265133"/>
    <w:rsid w:val="00265A23"/>
    <w:rsid w:val="00267841"/>
    <w:rsid w:val="00270B5B"/>
    <w:rsid w:val="002710C3"/>
    <w:rsid w:val="002734D6"/>
    <w:rsid w:val="00274808"/>
    <w:rsid w:val="00274C45"/>
    <w:rsid w:val="00275109"/>
    <w:rsid w:val="00275BEE"/>
    <w:rsid w:val="00277434"/>
    <w:rsid w:val="00280123"/>
    <w:rsid w:val="00281343"/>
    <w:rsid w:val="00281883"/>
    <w:rsid w:val="002874E3"/>
    <w:rsid w:val="00287656"/>
    <w:rsid w:val="00291518"/>
    <w:rsid w:val="00292FA3"/>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76E6"/>
    <w:rsid w:val="002E21B8"/>
    <w:rsid w:val="002E7DF9"/>
    <w:rsid w:val="002F097B"/>
    <w:rsid w:val="002F2147"/>
    <w:rsid w:val="002F3111"/>
    <w:rsid w:val="002F4AEC"/>
    <w:rsid w:val="002F795D"/>
    <w:rsid w:val="00300823"/>
    <w:rsid w:val="003008FC"/>
    <w:rsid w:val="00300D7F"/>
    <w:rsid w:val="00301638"/>
    <w:rsid w:val="00303B0C"/>
    <w:rsid w:val="0030459C"/>
    <w:rsid w:val="00310B85"/>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F0B"/>
    <w:rsid w:val="00347B4A"/>
    <w:rsid w:val="003500C3"/>
    <w:rsid w:val="003523BD"/>
    <w:rsid w:val="00352681"/>
    <w:rsid w:val="003536AA"/>
    <w:rsid w:val="003544CE"/>
    <w:rsid w:val="00355A98"/>
    <w:rsid w:val="00355D7E"/>
    <w:rsid w:val="003568DE"/>
    <w:rsid w:val="00357CA1"/>
    <w:rsid w:val="00361C3A"/>
    <w:rsid w:val="00361FE9"/>
    <w:rsid w:val="003620F7"/>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1380"/>
    <w:rsid w:val="003D726D"/>
    <w:rsid w:val="003E0875"/>
    <w:rsid w:val="003E0BB8"/>
    <w:rsid w:val="003E329F"/>
    <w:rsid w:val="003E6CB0"/>
    <w:rsid w:val="003F1F5E"/>
    <w:rsid w:val="003F286A"/>
    <w:rsid w:val="003F77F8"/>
    <w:rsid w:val="00400ACD"/>
    <w:rsid w:val="00403B15"/>
    <w:rsid w:val="00403E8A"/>
    <w:rsid w:val="00405BFB"/>
    <w:rsid w:val="004101E4"/>
    <w:rsid w:val="00410661"/>
    <w:rsid w:val="004108C3"/>
    <w:rsid w:val="00410B33"/>
    <w:rsid w:val="004120CC"/>
    <w:rsid w:val="00412ED2"/>
    <w:rsid w:val="00412F0F"/>
    <w:rsid w:val="004134CE"/>
    <w:rsid w:val="004136A8"/>
    <w:rsid w:val="00415139"/>
    <w:rsid w:val="004159A4"/>
    <w:rsid w:val="004166BB"/>
    <w:rsid w:val="004174CD"/>
    <w:rsid w:val="00422039"/>
    <w:rsid w:val="00423FBC"/>
    <w:rsid w:val="004241AA"/>
    <w:rsid w:val="0042422E"/>
    <w:rsid w:val="0043190E"/>
    <w:rsid w:val="004324E9"/>
    <w:rsid w:val="004350F3"/>
    <w:rsid w:val="0043539E"/>
    <w:rsid w:val="00436980"/>
    <w:rsid w:val="00437B6B"/>
    <w:rsid w:val="00441016"/>
    <w:rsid w:val="00441F2F"/>
    <w:rsid w:val="0044228B"/>
    <w:rsid w:val="00447018"/>
    <w:rsid w:val="00450561"/>
    <w:rsid w:val="00450A40"/>
    <w:rsid w:val="00451D7C"/>
    <w:rsid w:val="00452FC3"/>
    <w:rsid w:val="00454715"/>
    <w:rsid w:val="00455936"/>
    <w:rsid w:val="00455ACE"/>
    <w:rsid w:val="004571E1"/>
    <w:rsid w:val="00461B69"/>
    <w:rsid w:val="00462B3D"/>
    <w:rsid w:val="00474927"/>
    <w:rsid w:val="00475913"/>
    <w:rsid w:val="00476DE4"/>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37FB"/>
    <w:rsid w:val="004B138F"/>
    <w:rsid w:val="004B2439"/>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2BB1"/>
    <w:rsid w:val="00505121"/>
    <w:rsid w:val="00505C04"/>
    <w:rsid w:val="00505F1B"/>
    <w:rsid w:val="005073E8"/>
    <w:rsid w:val="00510503"/>
    <w:rsid w:val="005105F9"/>
    <w:rsid w:val="0051324D"/>
    <w:rsid w:val="00515466"/>
    <w:rsid w:val="005154F7"/>
    <w:rsid w:val="00515875"/>
    <w:rsid w:val="005159DE"/>
    <w:rsid w:val="005269CE"/>
    <w:rsid w:val="005304B2"/>
    <w:rsid w:val="005336BD"/>
    <w:rsid w:val="00534A49"/>
    <w:rsid w:val="005363BB"/>
    <w:rsid w:val="0054182A"/>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3D3"/>
    <w:rsid w:val="006049F5"/>
    <w:rsid w:val="00605F7B"/>
    <w:rsid w:val="00607E64"/>
    <w:rsid w:val="006106E9"/>
    <w:rsid w:val="0061159E"/>
    <w:rsid w:val="0061239C"/>
    <w:rsid w:val="00614633"/>
    <w:rsid w:val="00614BC8"/>
    <w:rsid w:val="006151FB"/>
    <w:rsid w:val="00617411"/>
    <w:rsid w:val="0062106D"/>
    <w:rsid w:val="006249CB"/>
    <w:rsid w:val="0062541D"/>
    <w:rsid w:val="006272DD"/>
    <w:rsid w:val="00630963"/>
    <w:rsid w:val="00631897"/>
    <w:rsid w:val="00632928"/>
    <w:rsid w:val="006330DA"/>
    <w:rsid w:val="00633262"/>
    <w:rsid w:val="00633460"/>
    <w:rsid w:val="00636094"/>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6D52"/>
    <w:rsid w:val="0068127E"/>
    <w:rsid w:val="00681790"/>
    <w:rsid w:val="006823AA"/>
    <w:rsid w:val="0068302A"/>
    <w:rsid w:val="00684B98"/>
    <w:rsid w:val="00685DC9"/>
    <w:rsid w:val="00687465"/>
    <w:rsid w:val="006907CF"/>
    <w:rsid w:val="00691CCF"/>
    <w:rsid w:val="00693AFA"/>
    <w:rsid w:val="00695101"/>
    <w:rsid w:val="00695B9A"/>
    <w:rsid w:val="00696563"/>
    <w:rsid w:val="006967B7"/>
    <w:rsid w:val="006979F8"/>
    <w:rsid w:val="006A3487"/>
    <w:rsid w:val="006A6068"/>
    <w:rsid w:val="006B129D"/>
    <w:rsid w:val="006B12AE"/>
    <w:rsid w:val="006B16B3"/>
    <w:rsid w:val="006B1918"/>
    <w:rsid w:val="006B233E"/>
    <w:rsid w:val="006B23D8"/>
    <w:rsid w:val="006B241F"/>
    <w:rsid w:val="006B28D5"/>
    <w:rsid w:val="006B2A01"/>
    <w:rsid w:val="006B2B8C"/>
    <w:rsid w:val="006B2DEB"/>
    <w:rsid w:val="006B54C5"/>
    <w:rsid w:val="006B5E80"/>
    <w:rsid w:val="006B7A2E"/>
    <w:rsid w:val="006C4709"/>
    <w:rsid w:val="006D3005"/>
    <w:rsid w:val="006D4FC3"/>
    <w:rsid w:val="006D504F"/>
    <w:rsid w:val="006E0CAC"/>
    <w:rsid w:val="006E1CFB"/>
    <w:rsid w:val="006E1F94"/>
    <w:rsid w:val="006E26C1"/>
    <w:rsid w:val="006E30A8"/>
    <w:rsid w:val="006E45B0"/>
    <w:rsid w:val="006E5692"/>
    <w:rsid w:val="006F365D"/>
    <w:rsid w:val="006F4BB0"/>
    <w:rsid w:val="007031BD"/>
    <w:rsid w:val="00703A48"/>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06B0"/>
    <w:rsid w:val="0073163C"/>
    <w:rsid w:val="00731DE3"/>
    <w:rsid w:val="0073588A"/>
    <w:rsid w:val="00735B9D"/>
    <w:rsid w:val="007365A5"/>
    <w:rsid w:val="00736FB0"/>
    <w:rsid w:val="007404BC"/>
    <w:rsid w:val="00740D13"/>
    <w:rsid w:val="00740F5F"/>
    <w:rsid w:val="00742794"/>
    <w:rsid w:val="00743C4C"/>
    <w:rsid w:val="007445B7"/>
    <w:rsid w:val="00744920"/>
    <w:rsid w:val="007509BE"/>
    <w:rsid w:val="0075287B"/>
    <w:rsid w:val="00755C7B"/>
    <w:rsid w:val="00762224"/>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436"/>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8F7499"/>
    <w:rsid w:val="00901670"/>
    <w:rsid w:val="00902212"/>
    <w:rsid w:val="00903E0A"/>
    <w:rsid w:val="00904721"/>
    <w:rsid w:val="00907780"/>
    <w:rsid w:val="00907EDD"/>
    <w:rsid w:val="009107AD"/>
    <w:rsid w:val="00915568"/>
    <w:rsid w:val="00917E0C"/>
    <w:rsid w:val="00920711"/>
    <w:rsid w:val="00921A1E"/>
    <w:rsid w:val="00921B49"/>
    <w:rsid w:val="00924EA9"/>
    <w:rsid w:val="00925CE1"/>
    <w:rsid w:val="00925F5C"/>
    <w:rsid w:val="00930897"/>
    <w:rsid w:val="00930C60"/>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77142"/>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419"/>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5952"/>
    <w:rsid w:val="00A26A8A"/>
    <w:rsid w:val="00A27255"/>
    <w:rsid w:val="00A32304"/>
    <w:rsid w:val="00A3420E"/>
    <w:rsid w:val="00A35D66"/>
    <w:rsid w:val="00A36820"/>
    <w:rsid w:val="00A41085"/>
    <w:rsid w:val="00A425FA"/>
    <w:rsid w:val="00A43960"/>
    <w:rsid w:val="00A46902"/>
    <w:rsid w:val="00A50CDB"/>
    <w:rsid w:val="00A51F3E"/>
    <w:rsid w:val="00A5364B"/>
    <w:rsid w:val="00A54142"/>
    <w:rsid w:val="00A54C42"/>
    <w:rsid w:val="00A572B1"/>
    <w:rsid w:val="00A577AF"/>
    <w:rsid w:val="00A60177"/>
    <w:rsid w:val="00A6176C"/>
    <w:rsid w:val="00A61C27"/>
    <w:rsid w:val="00A62638"/>
    <w:rsid w:val="00A6344D"/>
    <w:rsid w:val="00A644B8"/>
    <w:rsid w:val="00A70E35"/>
    <w:rsid w:val="00A720DC"/>
    <w:rsid w:val="00A803CF"/>
    <w:rsid w:val="00A8133F"/>
    <w:rsid w:val="00A816D9"/>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12D2"/>
    <w:rsid w:val="00AC2E9A"/>
    <w:rsid w:val="00AC5AAB"/>
    <w:rsid w:val="00AC5AEC"/>
    <w:rsid w:val="00AC5F28"/>
    <w:rsid w:val="00AC6900"/>
    <w:rsid w:val="00AD09CD"/>
    <w:rsid w:val="00AD304B"/>
    <w:rsid w:val="00AD4497"/>
    <w:rsid w:val="00AD7780"/>
    <w:rsid w:val="00AE2263"/>
    <w:rsid w:val="00AE248E"/>
    <w:rsid w:val="00AE2D12"/>
    <w:rsid w:val="00AE2F06"/>
    <w:rsid w:val="00AE4F1C"/>
    <w:rsid w:val="00AE52C6"/>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5A8D"/>
    <w:rsid w:val="00B90097"/>
    <w:rsid w:val="00B90999"/>
    <w:rsid w:val="00B91AD7"/>
    <w:rsid w:val="00B92D23"/>
    <w:rsid w:val="00B95BC8"/>
    <w:rsid w:val="00B96E87"/>
    <w:rsid w:val="00BA146A"/>
    <w:rsid w:val="00BA32EE"/>
    <w:rsid w:val="00BB3D4C"/>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7FF9"/>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183E"/>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19A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3E49"/>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19C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01C"/>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3BC"/>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202"/>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13F6"/>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04DD"/>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022A"/>
    <w:rsid w:val="00F01045"/>
    <w:rsid w:val="00F01DFA"/>
    <w:rsid w:val="00F02096"/>
    <w:rsid w:val="00F02457"/>
    <w:rsid w:val="00F036C3"/>
    <w:rsid w:val="00F0417E"/>
    <w:rsid w:val="00F05397"/>
    <w:rsid w:val="00F0638C"/>
    <w:rsid w:val="00F11E04"/>
    <w:rsid w:val="00F12B24"/>
    <w:rsid w:val="00F12BC7"/>
    <w:rsid w:val="00F15223"/>
    <w:rsid w:val="00F15F1D"/>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566E"/>
    <w:rsid w:val="00F7758F"/>
    <w:rsid w:val="00F82811"/>
    <w:rsid w:val="00F84153"/>
    <w:rsid w:val="00F85661"/>
    <w:rsid w:val="00F956AE"/>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7DF899-ED39-4B70-80BB-7DAE3422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92FA3"/>
    <w:rPr>
      <w:sz w:val="16"/>
      <w:szCs w:val="16"/>
    </w:rPr>
  </w:style>
  <w:style w:type="paragraph" w:styleId="CommentText">
    <w:name w:val="annotation text"/>
    <w:basedOn w:val="Normal"/>
    <w:link w:val="CommentTextChar"/>
    <w:unhideWhenUsed/>
    <w:rsid w:val="00292FA3"/>
    <w:rPr>
      <w:sz w:val="20"/>
      <w:szCs w:val="20"/>
    </w:rPr>
  </w:style>
  <w:style w:type="character" w:customStyle="1" w:styleId="CommentTextChar">
    <w:name w:val="Comment Text Char"/>
    <w:basedOn w:val="DefaultParagraphFont"/>
    <w:link w:val="CommentText"/>
    <w:rsid w:val="00292FA3"/>
  </w:style>
  <w:style w:type="paragraph" w:styleId="Revision">
    <w:name w:val="Revision"/>
    <w:hidden/>
    <w:uiPriority w:val="99"/>
    <w:semiHidden/>
    <w:rsid w:val="00292FA3"/>
    <w:rPr>
      <w:sz w:val="24"/>
      <w:szCs w:val="24"/>
    </w:rPr>
  </w:style>
  <w:style w:type="paragraph" w:styleId="CommentSubject">
    <w:name w:val="annotation subject"/>
    <w:basedOn w:val="CommentText"/>
    <w:next w:val="CommentText"/>
    <w:link w:val="CommentSubjectChar"/>
    <w:semiHidden/>
    <w:unhideWhenUsed/>
    <w:rsid w:val="00B85A8D"/>
    <w:rPr>
      <w:b/>
      <w:bCs/>
    </w:rPr>
  </w:style>
  <w:style w:type="character" w:customStyle="1" w:styleId="CommentSubjectChar">
    <w:name w:val="Comment Subject Char"/>
    <w:basedOn w:val="CommentTextChar"/>
    <w:link w:val="CommentSubject"/>
    <w:semiHidden/>
    <w:rsid w:val="00B85A8D"/>
    <w:rPr>
      <w:b/>
      <w:bCs/>
    </w:rPr>
  </w:style>
  <w:style w:type="character" w:styleId="Hyperlink">
    <w:name w:val="Hyperlink"/>
    <w:basedOn w:val="DefaultParagraphFont"/>
    <w:unhideWhenUsed/>
    <w:rsid w:val="00E813F6"/>
    <w:rPr>
      <w:color w:val="0000FF" w:themeColor="hyperlink"/>
      <w:u w:val="single"/>
    </w:rPr>
  </w:style>
  <w:style w:type="character" w:customStyle="1" w:styleId="UnresolvedMention1">
    <w:name w:val="Unresolved Mention1"/>
    <w:basedOn w:val="DefaultParagraphFont"/>
    <w:uiPriority w:val="99"/>
    <w:semiHidden/>
    <w:unhideWhenUsed/>
    <w:rsid w:val="00E81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2485</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BA - HB00865 (Committee Report (Unamended))</vt:lpstr>
    </vt:vector>
  </TitlesOfParts>
  <Company>State of Texas</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21555</dc:subject>
  <dc:creator>State of Texas</dc:creator>
  <dc:description>HB 865 by Moody-(H)Judiciary &amp; Civil Jurisprudence</dc:description>
  <cp:lastModifiedBy>Stacey Nicchio</cp:lastModifiedBy>
  <cp:revision>2</cp:revision>
  <cp:lastPrinted>2003-11-26T17:21:00Z</cp:lastPrinted>
  <dcterms:created xsi:type="dcterms:W3CDTF">2025-04-03T18:02:00Z</dcterms:created>
  <dcterms:modified xsi:type="dcterms:W3CDTF">2025-04-03T18:02:00Z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25.87.75</vt:lpwstr>
  </property>
</Properties>
</file>