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2761" w:rsidRDefault="00EE276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7AAD7149A384755BB3F30EFD9BFB67D"/>
          </w:placeholder>
        </w:sdtPr>
        <w:sdtContent>
          <w:r w:rsidRPr="005C2A78">
            <w:rPr>
              <w:rFonts w:cs="Times New Roman"/>
              <w:b/>
              <w:szCs w:val="24"/>
              <w:u w:val="single"/>
            </w:rPr>
            <w:t>BILL ANALYSIS</w:t>
          </w:r>
        </w:sdtContent>
      </w:sdt>
    </w:p>
    <w:p w:rsidR="00EE2761" w:rsidRPr="00585C31" w:rsidRDefault="00EE2761" w:rsidP="000F1DF9">
      <w:pPr>
        <w:spacing w:after="0" w:line="240" w:lineRule="auto"/>
        <w:rPr>
          <w:rFonts w:cs="Times New Roman"/>
          <w:szCs w:val="24"/>
        </w:rPr>
      </w:pPr>
    </w:p>
    <w:p w:rsidR="00EE2761" w:rsidRPr="00585C31" w:rsidRDefault="00EE276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E2761" w:rsidTr="000F1DF9">
        <w:tc>
          <w:tcPr>
            <w:tcW w:w="2718" w:type="dxa"/>
          </w:tcPr>
          <w:p w:rsidR="00EE2761" w:rsidRPr="005C2A78" w:rsidRDefault="00EE2761" w:rsidP="006D756B">
            <w:pPr>
              <w:rPr>
                <w:rFonts w:cs="Times New Roman"/>
                <w:szCs w:val="24"/>
              </w:rPr>
            </w:pPr>
            <w:sdt>
              <w:sdtPr>
                <w:rPr>
                  <w:rFonts w:cs="Times New Roman"/>
                  <w:szCs w:val="24"/>
                </w:rPr>
                <w:alias w:val="Agency Title"/>
                <w:tag w:val="AgencyTitleContentControl"/>
                <w:id w:val="1920747753"/>
                <w:lock w:val="sdtContentLocked"/>
                <w:placeholder>
                  <w:docPart w:val="7E4FC9DB5A314A54A0F337A567B7E5D7"/>
                </w:placeholder>
              </w:sdtPr>
              <w:sdtEndPr>
                <w:rPr>
                  <w:rFonts w:cstheme="minorBidi"/>
                  <w:szCs w:val="22"/>
                </w:rPr>
              </w:sdtEndPr>
              <w:sdtContent>
                <w:r>
                  <w:rPr>
                    <w:rFonts w:cs="Times New Roman"/>
                    <w:szCs w:val="24"/>
                  </w:rPr>
                  <w:t>Senate Research Center</w:t>
                </w:r>
              </w:sdtContent>
            </w:sdt>
          </w:p>
        </w:tc>
        <w:tc>
          <w:tcPr>
            <w:tcW w:w="6858" w:type="dxa"/>
          </w:tcPr>
          <w:p w:rsidR="00EE2761" w:rsidRPr="00FF6471" w:rsidRDefault="00EE2761" w:rsidP="000F1DF9">
            <w:pPr>
              <w:jc w:val="right"/>
              <w:rPr>
                <w:rFonts w:cs="Times New Roman"/>
                <w:szCs w:val="24"/>
              </w:rPr>
            </w:pPr>
            <w:sdt>
              <w:sdtPr>
                <w:rPr>
                  <w:rFonts w:cs="Times New Roman"/>
                  <w:szCs w:val="24"/>
                </w:rPr>
                <w:alias w:val="Bill Number"/>
                <w:tag w:val="BillNumberOne"/>
                <w:id w:val="-410784069"/>
                <w:lock w:val="sdtContentLocked"/>
                <w:placeholder>
                  <w:docPart w:val="39BE880501384B87827830D8D297E0FC"/>
                </w:placeholder>
              </w:sdtPr>
              <w:sdtContent>
                <w:r>
                  <w:rPr>
                    <w:rFonts w:cs="Times New Roman"/>
                    <w:szCs w:val="24"/>
                  </w:rPr>
                  <w:t>H.B. 1188</w:t>
                </w:r>
              </w:sdtContent>
            </w:sdt>
          </w:p>
        </w:tc>
      </w:tr>
      <w:tr w:rsidR="00EE2761" w:rsidTr="000F1DF9">
        <w:sdt>
          <w:sdtPr>
            <w:rPr>
              <w:rFonts w:cs="Times New Roman"/>
              <w:szCs w:val="24"/>
            </w:rPr>
            <w:alias w:val="TLCNumber"/>
            <w:tag w:val="TLCNumber"/>
            <w:id w:val="-542600604"/>
            <w:lock w:val="sdtLocked"/>
            <w:placeholder>
              <w:docPart w:val="CAA2BE992BD64757B517660BE527FA4E"/>
            </w:placeholder>
            <w:showingPlcHdr/>
          </w:sdtPr>
          <w:sdtContent>
            <w:tc>
              <w:tcPr>
                <w:tcW w:w="2718" w:type="dxa"/>
              </w:tcPr>
              <w:p w:rsidR="00EE2761" w:rsidRPr="000F1DF9" w:rsidRDefault="00EE2761" w:rsidP="00C65088">
                <w:pPr>
                  <w:rPr>
                    <w:rFonts w:cs="Times New Roman"/>
                    <w:szCs w:val="24"/>
                  </w:rPr>
                </w:pPr>
              </w:p>
            </w:tc>
          </w:sdtContent>
        </w:sdt>
        <w:tc>
          <w:tcPr>
            <w:tcW w:w="6858" w:type="dxa"/>
          </w:tcPr>
          <w:p w:rsidR="00EE2761" w:rsidRPr="005C2A78" w:rsidRDefault="00EE2761" w:rsidP="00073EDD">
            <w:pPr>
              <w:jc w:val="right"/>
              <w:rPr>
                <w:rFonts w:cs="Times New Roman"/>
                <w:szCs w:val="24"/>
              </w:rPr>
            </w:pPr>
            <w:sdt>
              <w:sdtPr>
                <w:rPr>
                  <w:rFonts w:cs="Times New Roman"/>
                  <w:szCs w:val="24"/>
                </w:rPr>
                <w:alias w:val="Author Label"/>
                <w:tag w:val="By"/>
                <w:id w:val="72399597"/>
                <w:lock w:val="sdtLocked"/>
                <w:placeholder>
                  <w:docPart w:val="30C009C09FC742E5B233F1E4C1F36B7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C6653A38CEB48D8ADBDABF52606D12E"/>
                </w:placeholder>
              </w:sdtPr>
              <w:sdtContent>
                <w:r>
                  <w:rPr>
                    <w:rFonts w:cs="Times New Roman"/>
                    <w:szCs w:val="24"/>
                  </w:rPr>
                  <w:t>Manuel et al.</w:t>
                </w:r>
              </w:sdtContent>
            </w:sdt>
            <w:sdt>
              <w:sdtPr>
                <w:rPr>
                  <w:rFonts w:cs="Times New Roman"/>
                  <w:szCs w:val="24"/>
                </w:rPr>
                <w:alias w:val="Sponsor"/>
                <w:tag w:val="Sponsor"/>
                <w:id w:val="-2039656131"/>
                <w:lock w:val="sdtContentLocked"/>
                <w:placeholder>
                  <w:docPart w:val="8287B098644443E19E6CE263BCEE789B"/>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6593A7CAB657466A91B8A95BD6D47298"/>
                </w:placeholder>
                <w:showingPlcHdr/>
              </w:sdtPr>
              <w:sdtContent/>
            </w:sdt>
          </w:p>
        </w:tc>
      </w:tr>
      <w:tr w:rsidR="00EE2761" w:rsidTr="000F1DF9">
        <w:tc>
          <w:tcPr>
            <w:tcW w:w="2718" w:type="dxa"/>
          </w:tcPr>
          <w:p w:rsidR="00EE2761" w:rsidRPr="00BC7495" w:rsidRDefault="00EE2761" w:rsidP="000F1DF9">
            <w:pPr>
              <w:rPr>
                <w:rFonts w:cs="Times New Roman"/>
                <w:szCs w:val="24"/>
              </w:rPr>
            </w:pPr>
          </w:p>
        </w:tc>
        <w:sdt>
          <w:sdtPr>
            <w:rPr>
              <w:rFonts w:cs="Times New Roman"/>
              <w:szCs w:val="24"/>
            </w:rPr>
            <w:alias w:val="Committee"/>
            <w:tag w:val="Committee"/>
            <w:id w:val="1914272295"/>
            <w:lock w:val="sdtContentLocked"/>
            <w:placeholder>
              <w:docPart w:val="7657B688C7DD4371A4424A95344FC9A9"/>
            </w:placeholder>
          </w:sdtPr>
          <w:sdtContent>
            <w:tc>
              <w:tcPr>
                <w:tcW w:w="6858" w:type="dxa"/>
              </w:tcPr>
              <w:p w:rsidR="00EE2761" w:rsidRPr="00FF6471" w:rsidRDefault="00EE2761" w:rsidP="000F1DF9">
                <w:pPr>
                  <w:jc w:val="right"/>
                  <w:rPr>
                    <w:rFonts w:cs="Times New Roman"/>
                    <w:szCs w:val="24"/>
                  </w:rPr>
                </w:pPr>
                <w:r>
                  <w:rPr>
                    <w:rFonts w:cs="Times New Roman"/>
                    <w:szCs w:val="24"/>
                  </w:rPr>
                  <w:t>Education K-16</w:t>
                </w:r>
              </w:p>
            </w:tc>
          </w:sdtContent>
        </w:sdt>
      </w:tr>
      <w:tr w:rsidR="00EE2761" w:rsidTr="000F1DF9">
        <w:tc>
          <w:tcPr>
            <w:tcW w:w="2718" w:type="dxa"/>
          </w:tcPr>
          <w:p w:rsidR="00EE2761" w:rsidRPr="00BC7495" w:rsidRDefault="00EE2761" w:rsidP="000F1DF9">
            <w:pPr>
              <w:rPr>
                <w:rFonts w:cs="Times New Roman"/>
                <w:szCs w:val="24"/>
              </w:rPr>
            </w:pPr>
          </w:p>
        </w:tc>
        <w:sdt>
          <w:sdtPr>
            <w:rPr>
              <w:rFonts w:cs="Times New Roman"/>
              <w:szCs w:val="24"/>
            </w:rPr>
            <w:alias w:val="Date"/>
            <w:tag w:val="DateContentControl"/>
            <w:id w:val="1178081906"/>
            <w:lock w:val="sdtLocked"/>
            <w:placeholder>
              <w:docPart w:val="DADE84C5C2CB43558287DE729F3DECA2"/>
            </w:placeholder>
            <w:date w:fullDate="2025-05-02T00:00:00Z">
              <w:dateFormat w:val="M/d/yyyy"/>
              <w:lid w:val="en-US"/>
              <w:storeMappedDataAs w:val="dateTime"/>
              <w:calendar w:val="gregorian"/>
            </w:date>
          </w:sdtPr>
          <w:sdtContent>
            <w:tc>
              <w:tcPr>
                <w:tcW w:w="6858" w:type="dxa"/>
              </w:tcPr>
              <w:p w:rsidR="00EE2761" w:rsidRPr="00FF6471" w:rsidRDefault="00EE2761" w:rsidP="000F1DF9">
                <w:pPr>
                  <w:jc w:val="right"/>
                  <w:rPr>
                    <w:rFonts w:cs="Times New Roman"/>
                    <w:szCs w:val="24"/>
                  </w:rPr>
                </w:pPr>
                <w:r>
                  <w:rPr>
                    <w:rFonts w:cs="Times New Roman"/>
                    <w:szCs w:val="24"/>
                  </w:rPr>
                  <w:t>5/2/2025</w:t>
                </w:r>
              </w:p>
            </w:tc>
          </w:sdtContent>
        </w:sdt>
      </w:tr>
      <w:tr w:rsidR="00EE2761" w:rsidTr="000F1DF9">
        <w:tc>
          <w:tcPr>
            <w:tcW w:w="2718" w:type="dxa"/>
          </w:tcPr>
          <w:p w:rsidR="00EE2761" w:rsidRPr="00BC7495" w:rsidRDefault="00EE2761" w:rsidP="000F1DF9">
            <w:pPr>
              <w:rPr>
                <w:rFonts w:cs="Times New Roman"/>
                <w:szCs w:val="24"/>
              </w:rPr>
            </w:pPr>
          </w:p>
        </w:tc>
        <w:sdt>
          <w:sdtPr>
            <w:rPr>
              <w:rFonts w:cs="Times New Roman"/>
              <w:szCs w:val="24"/>
            </w:rPr>
            <w:alias w:val="BA Version"/>
            <w:tag w:val="BAVersion"/>
            <w:id w:val="-1685590809"/>
            <w:lock w:val="sdtContentLocked"/>
            <w:placeholder>
              <w:docPart w:val="8758A70C514741C599F5F101F75A5BCA"/>
            </w:placeholder>
          </w:sdtPr>
          <w:sdtContent>
            <w:tc>
              <w:tcPr>
                <w:tcW w:w="6858" w:type="dxa"/>
              </w:tcPr>
              <w:p w:rsidR="00EE2761" w:rsidRPr="00FF6471" w:rsidRDefault="00EE2761" w:rsidP="000F1DF9">
                <w:pPr>
                  <w:jc w:val="right"/>
                  <w:rPr>
                    <w:rFonts w:cs="Times New Roman"/>
                    <w:szCs w:val="24"/>
                  </w:rPr>
                </w:pPr>
                <w:r>
                  <w:rPr>
                    <w:rFonts w:cs="Times New Roman"/>
                    <w:szCs w:val="24"/>
                  </w:rPr>
                  <w:t>Engrossed</w:t>
                </w:r>
              </w:p>
            </w:tc>
          </w:sdtContent>
        </w:sdt>
      </w:tr>
    </w:tbl>
    <w:p w:rsidR="00EE2761" w:rsidRPr="00FF6471" w:rsidRDefault="00EE2761" w:rsidP="000F1DF9">
      <w:pPr>
        <w:spacing w:after="0" w:line="240" w:lineRule="auto"/>
        <w:rPr>
          <w:rFonts w:cs="Times New Roman"/>
          <w:szCs w:val="24"/>
        </w:rPr>
      </w:pPr>
    </w:p>
    <w:p w:rsidR="00EE2761" w:rsidRPr="00FF6471" w:rsidRDefault="00EE2761" w:rsidP="000F1DF9">
      <w:pPr>
        <w:spacing w:after="0" w:line="240" w:lineRule="auto"/>
        <w:rPr>
          <w:rFonts w:cs="Times New Roman"/>
          <w:szCs w:val="24"/>
        </w:rPr>
      </w:pPr>
    </w:p>
    <w:p w:rsidR="00EE2761" w:rsidRPr="00FF6471" w:rsidRDefault="00EE276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E2F4466BA394169A6A74AF0342C5F61"/>
        </w:placeholder>
      </w:sdtPr>
      <w:sdtContent>
        <w:p w:rsidR="00EE2761" w:rsidRDefault="00EE276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1F6BDE569884D658A9DAC4E070999D5"/>
        </w:placeholder>
      </w:sdtPr>
      <w:sdtContent>
        <w:p w:rsidR="00EE2761" w:rsidRDefault="00EE2761" w:rsidP="009869A3">
          <w:pPr>
            <w:pStyle w:val="NormalWeb"/>
            <w:spacing w:before="0" w:beforeAutospacing="0" w:after="0" w:afterAutospacing="0"/>
            <w:jc w:val="both"/>
            <w:divId w:val="1846630310"/>
            <w:rPr>
              <w:rFonts w:eastAsia="Times New Roman"/>
              <w:bCs/>
            </w:rPr>
          </w:pPr>
        </w:p>
        <w:p w:rsidR="00EE2761" w:rsidRPr="00A57201" w:rsidRDefault="00EE2761" w:rsidP="009869A3">
          <w:pPr>
            <w:pStyle w:val="NormalWeb"/>
            <w:spacing w:before="0" w:beforeAutospacing="0" w:after="0" w:afterAutospacing="0"/>
            <w:jc w:val="both"/>
            <w:divId w:val="1846630310"/>
            <w:rPr>
              <w:color w:val="000000"/>
            </w:rPr>
          </w:pPr>
          <w:r w:rsidRPr="00A57201">
            <w:rPr>
              <w:color w:val="000000"/>
            </w:rPr>
            <w:t xml:space="preserve">School districts begin transition planning at age 14 for students receiving special education services, but this process does not ensure referrals to local intellectual and developmental disability authorities (LIDDAs) or Medicaid waiver programs. As a result, families often miss years of available services, and lengthy Medicaid waiver waitlists leave many without critical support. </w:t>
          </w:r>
        </w:p>
        <w:p w:rsidR="00EE2761" w:rsidRDefault="00EE2761" w:rsidP="009869A3">
          <w:pPr>
            <w:pStyle w:val="NormalWeb"/>
            <w:spacing w:before="0" w:beforeAutospacing="0" w:after="0" w:afterAutospacing="0"/>
            <w:jc w:val="both"/>
            <w:divId w:val="1846630310"/>
            <w:rPr>
              <w:color w:val="000000"/>
            </w:rPr>
          </w:pPr>
        </w:p>
        <w:p w:rsidR="00EE2761" w:rsidRPr="00A57201" w:rsidRDefault="00EE2761" w:rsidP="009869A3">
          <w:pPr>
            <w:pStyle w:val="NormalWeb"/>
            <w:spacing w:before="0" w:beforeAutospacing="0" w:after="0" w:afterAutospacing="0"/>
            <w:jc w:val="both"/>
            <w:divId w:val="1846630310"/>
            <w:rPr>
              <w:color w:val="000000"/>
            </w:rPr>
          </w:pPr>
          <w:r w:rsidRPr="00A57201">
            <w:rPr>
              <w:color w:val="000000"/>
            </w:rPr>
            <w:t>H</w:t>
          </w:r>
          <w:r>
            <w:rPr>
              <w:color w:val="000000"/>
            </w:rPr>
            <w:t>.</w:t>
          </w:r>
          <w:r w:rsidRPr="00A57201">
            <w:rPr>
              <w:color w:val="000000"/>
            </w:rPr>
            <w:t>B</w:t>
          </w:r>
          <w:r>
            <w:rPr>
              <w:color w:val="000000"/>
            </w:rPr>
            <w:t>.</w:t>
          </w:r>
          <w:r w:rsidRPr="00A57201">
            <w:rPr>
              <w:color w:val="000000"/>
            </w:rPr>
            <w:t xml:space="preserve"> 1188 would require school districts to refer eligible students to a LIDDA as soon as they are identified, rather than waiting until transition planning begins. By accelerating referrals, families gain earlier access to essential services, improving long-term outcomes for students with disabilities in education, employment, and independent living. </w:t>
          </w:r>
        </w:p>
        <w:p w:rsidR="00EE2761" w:rsidRPr="00D70925" w:rsidRDefault="00EE2761" w:rsidP="009869A3">
          <w:pPr>
            <w:spacing w:after="0" w:line="240" w:lineRule="auto"/>
            <w:jc w:val="both"/>
            <w:rPr>
              <w:rFonts w:eastAsia="Times New Roman" w:cs="Times New Roman"/>
              <w:bCs/>
              <w:szCs w:val="24"/>
            </w:rPr>
          </w:pPr>
        </w:p>
      </w:sdtContent>
    </w:sdt>
    <w:p w:rsidR="00EE2761" w:rsidRDefault="00EE2761" w:rsidP="009869A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1188 </w:t>
      </w:r>
      <w:bookmarkStart w:id="1" w:name="AmendsCurrentLaw"/>
      <w:bookmarkEnd w:id="1"/>
      <w:r>
        <w:rPr>
          <w:rFonts w:cs="Times New Roman"/>
          <w:szCs w:val="24"/>
        </w:rPr>
        <w:t>amends current law relating to the provision of information regarding a local intellectual and developmental disability authority to the parents or guardians of certain special education students.</w:t>
      </w:r>
    </w:p>
    <w:p w:rsidR="00EE2761" w:rsidRPr="00A57201" w:rsidRDefault="00EE2761" w:rsidP="009869A3">
      <w:pPr>
        <w:spacing w:after="0" w:line="240" w:lineRule="auto"/>
        <w:jc w:val="both"/>
        <w:rPr>
          <w:rFonts w:eastAsia="Times New Roman" w:cs="Times New Roman"/>
          <w:szCs w:val="24"/>
        </w:rPr>
      </w:pPr>
    </w:p>
    <w:p w:rsidR="00EE2761" w:rsidRPr="005C2A78" w:rsidRDefault="00EE2761" w:rsidP="009869A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6CCEF62183F4618901C5E1A75890358"/>
          </w:placeholder>
        </w:sdtPr>
        <w:sdtContent>
          <w:r>
            <w:rPr>
              <w:rFonts w:eastAsia="Times New Roman" w:cs="Times New Roman"/>
              <w:b/>
              <w:szCs w:val="24"/>
              <w:u w:val="single"/>
            </w:rPr>
            <w:t>RULEMAKING AUTHORITY</w:t>
          </w:r>
        </w:sdtContent>
      </w:sdt>
    </w:p>
    <w:p w:rsidR="00EE2761" w:rsidRPr="006529C4" w:rsidRDefault="00EE2761" w:rsidP="009869A3">
      <w:pPr>
        <w:spacing w:after="0" w:line="240" w:lineRule="auto"/>
        <w:jc w:val="both"/>
        <w:rPr>
          <w:rFonts w:cs="Times New Roman"/>
          <w:szCs w:val="24"/>
        </w:rPr>
      </w:pPr>
    </w:p>
    <w:p w:rsidR="00EE2761" w:rsidRPr="006529C4" w:rsidRDefault="00EE2761" w:rsidP="009869A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E2761" w:rsidRPr="006529C4" w:rsidRDefault="00EE2761" w:rsidP="009869A3">
      <w:pPr>
        <w:spacing w:after="0" w:line="240" w:lineRule="auto"/>
        <w:jc w:val="both"/>
        <w:rPr>
          <w:rFonts w:cs="Times New Roman"/>
          <w:szCs w:val="24"/>
        </w:rPr>
      </w:pPr>
    </w:p>
    <w:p w:rsidR="00EE2761" w:rsidRPr="005C2A78" w:rsidRDefault="00EE2761" w:rsidP="009869A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6CC45C52FC74B8ABC7D95B2FBA7A1F7"/>
          </w:placeholder>
        </w:sdtPr>
        <w:sdtContent>
          <w:r>
            <w:rPr>
              <w:rFonts w:eastAsia="Times New Roman" w:cs="Times New Roman"/>
              <w:b/>
              <w:szCs w:val="24"/>
              <w:u w:val="single"/>
            </w:rPr>
            <w:t>SECTION BY SECTION ANALYSIS</w:t>
          </w:r>
        </w:sdtContent>
      </w:sdt>
    </w:p>
    <w:p w:rsidR="00EE2761" w:rsidRPr="005C2A78" w:rsidRDefault="00EE2761" w:rsidP="009869A3">
      <w:pPr>
        <w:spacing w:after="0" w:line="240" w:lineRule="auto"/>
        <w:jc w:val="both"/>
        <w:rPr>
          <w:rFonts w:eastAsia="Times New Roman" w:cs="Times New Roman"/>
          <w:szCs w:val="24"/>
        </w:rPr>
      </w:pPr>
    </w:p>
    <w:p w:rsidR="00EE2761" w:rsidRPr="005C2A78" w:rsidRDefault="00EE2761" w:rsidP="009869A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Authorizes this Act to be referred to as the Caytlin Handley Act.</w:t>
      </w:r>
    </w:p>
    <w:p w:rsidR="00EE2761" w:rsidRPr="005C2A78" w:rsidRDefault="00EE2761" w:rsidP="009869A3">
      <w:pPr>
        <w:spacing w:after="0" w:line="240" w:lineRule="auto"/>
        <w:jc w:val="both"/>
        <w:rPr>
          <w:rFonts w:eastAsia="Times New Roman" w:cs="Times New Roman"/>
          <w:szCs w:val="24"/>
        </w:rPr>
      </w:pPr>
    </w:p>
    <w:p w:rsidR="00EE2761" w:rsidRDefault="00EE2761" w:rsidP="009869A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Subchapter A, Chapter 29, Education Code, by adding Section 29.030, as follows:</w:t>
      </w:r>
    </w:p>
    <w:p w:rsidR="00EE2761" w:rsidRDefault="00EE2761" w:rsidP="009869A3">
      <w:pPr>
        <w:spacing w:after="0" w:line="240" w:lineRule="auto"/>
        <w:jc w:val="both"/>
        <w:rPr>
          <w:rFonts w:eastAsia="Times New Roman" w:cs="Times New Roman"/>
          <w:szCs w:val="24"/>
        </w:rPr>
      </w:pPr>
    </w:p>
    <w:p w:rsidR="00EE2761" w:rsidRDefault="00EE2761" w:rsidP="009869A3">
      <w:pPr>
        <w:spacing w:after="0" w:line="240" w:lineRule="auto"/>
        <w:ind w:left="720"/>
        <w:jc w:val="both"/>
        <w:rPr>
          <w:rFonts w:eastAsia="Times New Roman" w:cs="Times New Roman"/>
          <w:szCs w:val="24"/>
        </w:rPr>
      </w:pPr>
      <w:r>
        <w:rPr>
          <w:rFonts w:eastAsia="Times New Roman" w:cs="Times New Roman"/>
          <w:szCs w:val="24"/>
        </w:rPr>
        <w:t xml:space="preserve">Sec. 29.030. PROVISION OF INFORMATION REGARDING LOCAL INTELLECTUAL AND DEVELOPMENTAL DISABILITY AUTHORITY. (a) Requires a school district, at the </w:t>
      </w:r>
      <w:r w:rsidRPr="00A57201">
        <w:rPr>
          <w:rFonts w:eastAsia="Times New Roman" w:cs="Times New Roman"/>
          <w:szCs w:val="24"/>
        </w:rPr>
        <w:t>first individualized education program committee meeting during which a student's individualized education program is developed under Section 29.005 (Individualized Education Program), to provide the parent or legal guardian of a student who has an intellectual disability or a developmental delay with information about services and public benefits provided by the local intellectual and developmental disability authority that serves the county in which the student resides, including services under waiver programs established under Section 1915(c), Social Security Act (42 U.S.C. Section 1396n(c)).</w:t>
      </w:r>
    </w:p>
    <w:p w:rsidR="00EE2761" w:rsidRDefault="00EE2761" w:rsidP="009869A3">
      <w:pPr>
        <w:spacing w:after="0" w:line="240" w:lineRule="auto"/>
        <w:jc w:val="both"/>
        <w:rPr>
          <w:rFonts w:eastAsia="Times New Roman" w:cs="Times New Roman"/>
          <w:szCs w:val="24"/>
        </w:rPr>
      </w:pPr>
    </w:p>
    <w:p w:rsidR="00EE2761" w:rsidRPr="005C2A78" w:rsidRDefault="00EE2761" w:rsidP="009869A3">
      <w:pPr>
        <w:spacing w:after="0" w:line="240" w:lineRule="auto"/>
        <w:ind w:left="1440"/>
        <w:jc w:val="both"/>
        <w:rPr>
          <w:rFonts w:eastAsia="Times New Roman" w:cs="Times New Roman"/>
          <w:szCs w:val="24"/>
        </w:rPr>
      </w:pPr>
      <w:r>
        <w:rPr>
          <w:rFonts w:eastAsia="Times New Roman" w:cs="Times New Roman"/>
          <w:szCs w:val="24"/>
        </w:rPr>
        <w:t xml:space="preserve">(b) Requires the Texas Education Agency, in collaboration with the Health and Human Services Commission, to develop informational materials </w:t>
      </w:r>
      <w:r w:rsidRPr="00A57201">
        <w:rPr>
          <w:rFonts w:eastAsia="Times New Roman" w:cs="Times New Roman"/>
          <w:szCs w:val="24"/>
        </w:rPr>
        <w:t>that include the information described by Subsection (a) and make those materials available for use by school districts.</w:t>
      </w:r>
    </w:p>
    <w:p w:rsidR="00EE2761" w:rsidRPr="005C2A78" w:rsidRDefault="00EE2761" w:rsidP="009869A3">
      <w:pPr>
        <w:spacing w:after="0" w:line="240" w:lineRule="auto"/>
        <w:jc w:val="both"/>
        <w:rPr>
          <w:rFonts w:eastAsia="Times New Roman" w:cs="Times New Roman"/>
          <w:szCs w:val="24"/>
        </w:rPr>
      </w:pPr>
    </w:p>
    <w:p w:rsidR="00EE2761" w:rsidRDefault="00EE2761" w:rsidP="009869A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Provides that this Act applies beginning with the 2025–2026 school year.</w:t>
      </w:r>
    </w:p>
    <w:p w:rsidR="00EE2761" w:rsidRDefault="00EE2761" w:rsidP="009869A3">
      <w:pPr>
        <w:spacing w:after="0" w:line="240" w:lineRule="auto"/>
        <w:jc w:val="both"/>
        <w:rPr>
          <w:rFonts w:eastAsia="Times New Roman" w:cs="Times New Roman"/>
          <w:szCs w:val="24"/>
        </w:rPr>
      </w:pPr>
    </w:p>
    <w:p w:rsidR="00EE2761" w:rsidRPr="00C8671F" w:rsidRDefault="00EE2761" w:rsidP="009869A3">
      <w:pPr>
        <w:spacing w:after="0" w:line="240" w:lineRule="auto"/>
        <w:jc w:val="both"/>
        <w:rPr>
          <w:rFonts w:eastAsia="Times New Roman" w:cs="Times New Roman"/>
          <w:szCs w:val="24"/>
        </w:rPr>
      </w:pPr>
      <w:r>
        <w:rPr>
          <w:rFonts w:eastAsia="Times New Roman" w:cs="Times New Roman"/>
          <w:szCs w:val="24"/>
        </w:rPr>
        <w:t>SECTION 4. Effective date: upon passage or September 1, 2025.</w:t>
      </w:r>
    </w:p>
    <w:sectPr w:rsidR="00EE276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72179" w:rsidRDefault="00972179" w:rsidP="000F1DF9">
      <w:pPr>
        <w:spacing w:after="0" w:line="240" w:lineRule="auto"/>
      </w:pPr>
      <w:r>
        <w:separator/>
      </w:r>
    </w:p>
  </w:endnote>
  <w:endnote w:type="continuationSeparator" w:id="0">
    <w:p w:rsidR="00972179" w:rsidRDefault="0097217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7217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E2761">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E2761">
                <w:rPr>
                  <w:sz w:val="20"/>
                  <w:szCs w:val="20"/>
                </w:rPr>
                <w:t>H.B. 1188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E276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7217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72179" w:rsidRDefault="00972179" w:rsidP="000F1DF9">
      <w:pPr>
        <w:spacing w:after="0" w:line="240" w:lineRule="auto"/>
      </w:pPr>
      <w:r>
        <w:separator/>
      </w:r>
    </w:p>
  </w:footnote>
  <w:footnote w:type="continuationSeparator" w:id="0">
    <w:p w:rsidR="00972179" w:rsidRDefault="0097217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72179"/>
    <w:rsid w:val="00986E9F"/>
    <w:rsid w:val="00AE3F44"/>
    <w:rsid w:val="00B43543"/>
    <w:rsid w:val="00B53F07"/>
    <w:rsid w:val="00B97023"/>
    <w:rsid w:val="00BB294D"/>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761"/>
    <w:rsid w:val="00EE2AD8"/>
    <w:rsid w:val="00EE77B7"/>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F321D"/>
  <w15:docId w15:val="{6E2953E0-B73A-4CE3-A7FF-FDE661E9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E276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63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7AAD7149A384755BB3F30EFD9BFB67D"/>
        <w:category>
          <w:name w:val="General"/>
          <w:gallery w:val="placeholder"/>
        </w:category>
        <w:types>
          <w:type w:val="bbPlcHdr"/>
        </w:types>
        <w:behaviors>
          <w:behavior w:val="content"/>
        </w:behaviors>
        <w:guid w:val="{4610CF59-E784-4A43-8DAD-73F713F80EED}"/>
      </w:docPartPr>
      <w:docPartBody>
        <w:p w:rsidR="00C1379E" w:rsidRDefault="00C1379E"/>
      </w:docPartBody>
    </w:docPart>
    <w:docPart>
      <w:docPartPr>
        <w:name w:val="7E4FC9DB5A314A54A0F337A567B7E5D7"/>
        <w:category>
          <w:name w:val="General"/>
          <w:gallery w:val="placeholder"/>
        </w:category>
        <w:types>
          <w:type w:val="bbPlcHdr"/>
        </w:types>
        <w:behaviors>
          <w:behavior w:val="content"/>
        </w:behaviors>
        <w:guid w:val="{D3A559BA-868E-40C4-B071-2B6220A2D133}"/>
      </w:docPartPr>
      <w:docPartBody>
        <w:p w:rsidR="00C1379E" w:rsidRDefault="00C1379E"/>
      </w:docPartBody>
    </w:docPart>
    <w:docPart>
      <w:docPartPr>
        <w:name w:val="39BE880501384B87827830D8D297E0FC"/>
        <w:category>
          <w:name w:val="General"/>
          <w:gallery w:val="placeholder"/>
        </w:category>
        <w:types>
          <w:type w:val="bbPlcHdr"/>
        </w:types>
        <w:behaviors>
          <w:behavior w:val="content"/>
        </w:behaviors>
        <w:guid w:val="{B935FA73-5734-4871-93A9-84368B9F393B}"/>
      </w:docPartPr>
      <w:docPartBody>
        <w:p w:rsidR="00C1379E" w:rsidRDefault="00C1379E"/>
      </w:docPartBody>
    </w:docPart>
    <w:docPart>
      <w:docPartPr>
        <w:name w:val="CAA2BE992BD64757B517660BE527FA4E"/>
        <w:category>
          <w:name w:val="General"/>
          <w:gallery w:val="placeholder"/>
        </w:category>
        <w:types>
          <w:type w:val="bbPlcHdr"/>
        </w:types>
        <w:behaviors>
          <w:behavior w:val="content"/>
        </w:behaviors>
        <w:guid w:val="{350B7D5B-8E28-4D0B-B5C4-9CC4C4B8A9B7}"/>
      </w:docPartPr>
      <w:docPartBody>
        <w:p w:rsidR="00C1379E" w:rsidRDefault="00C1379E"/>
      </w:docPartBody>
    </w:docPart>
    <w:docPart>
      <w:docPartPr>
        <w:name w:val="30C009C09FC742E5B233F1E4C1F36B7C"/>
        <w:category>
          <w:name w:val="General"/>
          <w:gallery w:val="placeholder"/>
        </w:category>
        <w:types>
          <w:type w:val="bbPlcHdr"/>
        </w:types>
        <w:behaviors>
          <w:behavior w:val="content"/>
        </w:behaviors>
        <w:guid w:val="{32D37ED6-0ED8-4D0A-B6A0-6A8BAD00B89D}"/>
      </w:docPartPr>
      <w:docPartBody>
        <w:p w:rsidR="00C1379E" w:rsidRDefault="00C1379E"/>
      </w:docPartBody>
    </w:docPart>
    <w:docPart>
      <w:docPartPr>
        <w:name w:val="2C6653A38CEB48D8ADBDABF52606D12E"/>
        <w:category>
          <w:name w:val="General"/>
          <w:gallery w:val="placeholder"/>
        </w:category>
        <w:types>
          <w:type w:val="bbPlcHdr"/>
        </w:types>
        <w:behaviors>
          <w:behavior w:val="content"/>
        </w:behaviors>
        <w:guid w:val="{B789146C-7AC6-4254-9DD3-A2BE8DC17E87}"/>
      </w:docPartPr>
      <w:docPartBody>
        <w:p w:rsidR="00C1379E" w:rsidRDefault="00C1379E"/>
      </w:docPartBody>
    </w:docPart>
    <w:docPart>
      <w:docPartPr>
        <w:name w:val="8287B098644443E19E6CE263BCEE789B"/>
        <w:category>
          <w:name w:val="General"/>
          <w:gallery w:val="placeholder"/>
        </w:category>
        <w:types>
          <w:type w:val="bbPlcHdr"/>
        </w:types>
        <w:behaviors>
          <w:behavior w:val="content"/>
        </w:behaviors>
        <w:guid w:val="{1DD8B20A-97A9-4239-B768-83A35CAD7FE9}"/>
      </w:docPartPr>
      <w:docPartBody>
        <w:p w:rsidR="00C1379E" w:rsidRDefault="00C1379E"/>
      </w:docPartBody>
    </w:docPart>
    <w:docPart>
      <w:docPartPr>
        <w:name w:val="6593A7CAB657466A91B8A95BD6D47298"/>
        <w:category>
          <w:name w:val="General"/>
          <w:gallery w:val="placeholder"/>
        </w:category>
        <w:types>
          <w:type w:val="bbPlcHdr"/>
        </w:types>
        <w:behaviors>
          <w:behavior w:val="content"/>
        </w:behaviors>
        <w:guid w:val="{E73FB699-ECB8-4494-A20B-8CA746B3D818}"/>
      </w:docPartPr>
      <w:docPartBody>
        <w:p w:rsidR="00C1379E" w:rsidRDefault="00C1379E"/>
      </w:docPartBody>
    </w:docPart>
    <w:docPart>
      <w:docPartPr>
        <w:name w:val="7657B688C7DD4371A4424A95344FC9A9"/>
        <w:category>
          <w:name w:val="General"/>
          <w:gallery w:val="placeholder"/>
        </w:category>
        <w:types>
          <w:type w:val="bbPlcHdr"/>
        </w:types>
        <w:behaviors>
          <w:behavior w:val="content"/>
        </w:behaviors>
        <w:guid w:val="{B50211BD-37FF-4063-B45F-C60A6AD0C8E7}"/>
      </w:docPartPr>
      <w:docPartBody>
        <w:p w:rsidR="00C1379E" w:rsidRDefault="00C1379E"/>
      </w:docPartBody>
    </w:docPart>
    <w:docPart>
      <w:docPartPr>
        <w:name w:val="DADE84C5C2CB43558287DE729F3DECA2"/>
        <w:category>
          <w:name w:val="General"/>
          <w:gallery w:val="placeholder"/>
        </w:category>
        <w:types>
          <w:type w:val="bbPlcHdr"/>
        </w:types>
        <w:behaviors>
          <w:behavior w:val="content"/>
        </w:behaviors>
        <w:guid w:val="{822415B0-49FE-40BE-A6AB-1DB576A00890}"/>
      </w:docPartPr>
      <w:docPartBody>
        <w:p w:rsidR="00C1379E" w:rsidRDefault="00F02BA9" w:rsidP="00F02BA9">
          <w:pPr>
            <w:pStyle w:val="DADE84C5C2CB43558287DE729F3DECA2"/>
          </w:pPr>
          <w:r w:rsidRPr="00A30DD1">
            <w:rPr>
              <w:rStyle w:val="PlaceholderText"/>
            </w:rPr>
            <w:t>Click here to enter a date.</w:t>
          </w:r>
        </w:p>
      </w:docPartBody>
    </w:docPart>
    <w:docPart>
      <w:docPartPr>
        <w:name w:val="8758A70C514741C599F5F101F75A5BCA"/>
        <w:category>
          <w:name w:val="General"/>
          <w:gallery w:val="placeholder"/>
        </w:category>
        <w:types>
          <w:type w:val="bbPlcHdr"/>
        </w:types>
        <w:behaviors>
          <w:behavior w:val="content"/>
        </w:behaviors>
        <w:guid w:val="{575877F7-E208-40D8-929D-1A83D369DC63}"/>
      </w:docPartPr>
      <w:docPartBody>
        <w:p w:rsidR="00C1379E" w:rsidRDefault="00C1379E"/>
      </w:docPartBody>
    </w:docPart>
    <w:docPart>
      <w:docPartPr>
        <w:name w:val="1E2F4466BA394169A6A74AF0342C5F61"/>
        <w:category>
          <w:name w:val="General"/>
          <w:gallery w:val="placeholder"/>
        </w:category>
        <w:types>
          <w:type w:val="bbPlcHdr"/>
        </w:types>
        <w:behaviors>
          <w:behavior w:val="content"/>
        </w:behaviors>
        <w:guid w:val="{E5BE2FEF-B3E4-4AF2-949F-E76C9A09B67F}"/>
      </w:docPartPr>
      <w:docPartBody>
        <w:p w:rsidR="00C1379E" w:rsidRDefault="00C1379E"/>
      </w:docPartBody>
    </w:docPart>
    <w:docPart>
      <w:docPartPr>
        <w:name w:val="81F6BDE569884D658A9DAC4E070999D5"/>
        <w:category>
          <w:name w:val="General"/>
          <w:gallery w:val="placeholder"/>
        </w:category>
        <w:types>
          <w:type w:val="bbPlcHdr"/>
        </w:types>
        <w:behaviors>
          <w:behavior w:val="content"/>
        </w:behaviors>
        <w:guid w:val="{9E01F76D-845F-426D-A246-D618996142E6}"/>
      </w:docPartPr>
      <w:docPartBody>
        <w:p w:rsidR="00C1379E" w:rsidRDefault="00F02BA9" w:rsidP="00F02BA9">
          <w:pPr>
            <w:pStyle w:val="81F6BDE569884D658A9DAC4E070999D5"/>
          </w:pPr>
          <w:r>
            <w:rPr>
              <w:rFonts w:eastAsia="Times New Roman" w:cs="Times New Roman"/>
              <w:bCs/>
            </w:rPr>
            <w:t xml:space="preserve"> </w:t>
          </w:r>
        </w:p>
      </w:docPartBody>
    </w:docPart>
    <w:docPart>
      <w:docPartPr>
        <w:name w:val="96CCEF62183F4618901C5E1A75890358"/>
        <w:category>
          <w:name w:val="General"/>
          <w:gallery w:val="placeholder"/>
        </w:category>
        <w:types>
          <w:type w:val="bbPlcHdr"/>
        </w:types>
        <w:behaviors>
          <w:behavior w:val="content"/>
        </w:behaviors>
        <w:guid w:val="{67F1B02C-A350-43B8-9B9A-B564B9F00E38}"/>
      </w:docPartPr>
      <w:docPartBody>
        <w:p w:rsidR="00C1379E" w:rsidRDefault="00C1379E"/>
      </w:docPartBody>
    </w:docPart>
    <w:docPart>
      <w:docPartPr>
        <w:name w:val="26CC45C52FC74B8ABC7D95B2FBA7A1F7"/>
        <w:category>
          <w:name w:val="General"/>
          <w:gallery w:val="placeholder"/>
        </w:category>
        <w:types>
          <w:type w:val="bbPlcHdr"/>
        </w:types>
        <w:behaviors>
          <w:behavior w:val="content"/>
        </w:behaviors>
        <w:guid w:val="{D5D40177-F33B-4206-9B35-874512B8F218}"/>
      </w:docPartPr>
      <w:docPartBody>
        <w:p w:rsidR="00C1379E" w:rsidRDefault="00C137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1379E"/>
    <w:rsid w:val="00C968BA"/>
    <w:rsid w:val="00D63E87"/>
    <w:rsid w:val="00D705C9"/>
    <w:rsid w:val="00E11D0C"/>
    <w:rsid w:val="00E35A8C"/>
    <w:rsid w:val="00E65C8A"/>
    <w:rsid w:val="00EE77B7"/>
    <w:rsid w:val="00F02BA9"/>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2BA9"/>
    <w:rPr>
      <w:color w:val="808080"/>
    </w:rPr>
  </w:style>
  <w:style w:type="paragraph" w:customStyle="1" w:styleId="DADE84C5C2CB43558287DE729F3DECA2">
    <w:name w:val="DADE84C5C2CB43558287DE729F3DECA2"/>
    <w:rsid w:val="00F02BA9"/>
    <w:pPr>
      <w:spacing w:after="160" w:line="278" w:lineRule="auto"/>
    </w:pPr>
    <w:rPr>
      <w:kern w:val="2"/>
      <w:sz w:val="24"/>
      <w:szCs w:val="24"/>
      <w14:ligatures w14:val="standardContextual"/>
    </w:rPr>
  </w:style>
  <w:style w:type="paragraph" w:customStyle="1" w:styleId="81F6BDE569884D658A9DAC4E070999D5">
    <w:name w:val="81F6BDE569884D658A9DAC4E070999D5"/>
    <w:rsid w:val="00F02BA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395</Words>
  <Characters>2256</Characters>
  <Application>Microsoft Office Word</Application>
  <DocSecurity>0</DocSecurity>
  <Lines>18</Lines>
  <Paragraphs>5</Paragraphs>
  <ScaleCrop>false</ScaleCrop>
  <Company>Texas Legislative Council</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2025-05-05T20:44:00Z</dcterms:modified>
</cp:coreProperties>
</file>

<file path=docProps/custom.xml><?xml version="1.0" encoding="utf-8"?>
<op:Properties xmlns:vt="http://schemas.openxmlformats.org/officeDocument/2006/docPropsVTypes" xmlns:op="http://schemas.openxmlformats.org/officeDocument/2006/custom-properties"/>
</file>