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E7155" w14:paraId="3A09E1BF" w14:textId="77777777" w:rsidTr="00345119">
        <w:tc>
          <w:tcPr>
            <w:tcW w:w="9576" w:type="dxa"/>
            <w:noWrap/>
          </w:tcPr>
          <w:p w14:paraId="34E115B0" w14:textId="77777777" w:rsidR="008423E4" w:rsidRPr="0022177D" w:rsidRDefault="00CD1547" w:rsidP="005779DB">
            <w:pPr>
              <w:pStyle w:val="Heading1"/>
            </w:pPr>
            <w:r w:rsidRPr="00631897">
              <w:t>BILL ANALYSIS</w:t>
            </w:r>
          </w:p>
        </w:tc>
      </w:tr>
    </w:tbl>
    <w:p w14:paraId="282629F0" w14:textId="77777777" w:rsidR="008423E4" w:rsidRPr="0022177D" w:rsidRDefault="008423E4" w:rsidP="005779DB">
      <w:pPr>
        <w:jc w:val="center"/>
      </w:pPr>
    </w:p>
    <w:p w14:paraId="5B23B5F3" w14:textId="77777777" w:rsidR="008423E4" w:rsidRPr="00B31F0E" w:rsidRDefault="008423E4" w:rsidP="005779DB"/>
    <w:p w14:paraId="04081C59" w14:textId="77777777" w:rsidR="008423E4" w:rsidRPr="00742794" w:rsidRDefault="008423E4" w:rsidP="005779DB">
      <w:pPr>
        <w:tabs>
          <w:tab w:val="right" w:pos="9360"/>
        </w:tabs>
      </w:pPr>
    </w:p>
    <w:tbl>
      <w:tblPr>
        <w:tblW w:w="0" w:type="auto"/>
        <w:tblLayout w:type="fixed"/>
        <w:tblLook w:val="01E0" w:firstRow="1" w:lastRow="1" w:firstColumn="1" w:lastColumn="1" w:noHBand="0" w:noVBand="0"/>
      </w:tblPr>
      <w:tblGrid>
        <w:gridCol w:w="9576"/>
      </w:tblGrid>
      <w:tr w:rsidR="005E7155" w14:paraId="5C8DF188" w14:textId="77777777" w:rsidTr="00345119">
        <w:tc>
          <w:tcPr>
            <w:tcW w:w="9576" w:type="dxa"/>
          </w:tcPr>
          <w:p w14:paraId="4634397B" w14:textId="12198370" w:rsidR="008423E4" w:rsidRPr="00861995" w:rsidRDefault="00CD1547" w:rsidP="005779DB">
            <w:pPr>
              <w:jc w:val="right"/>
            </w:pPr>
            <w:r>
              <w:t>C.S.H.B. 1397</w:t>
            </w:r>
          </w:p>
        </w:tc>
      </w:tr>
      <w:tr w:rsidR="005E7155" w14:paraId="2E745A94" w14:textId="77777777" w:rsidTr="00345119">
        <w:tc>
          <w:tcPr>
            <w:tcW w:w="9576" w:type="dxa"/>
          </w:tcPr>
          <w:p w14:paraId="4C77E40B" w14:textId="0569B5DB" w:rsidR="008423E4" w:rsidRPr="00861995" w:rsidRDefault="00CD1547" w:rsidP="005779DB">
            <w:pPr>
              <w:jc w:val="right"/>
            </w:pPr>
            <w:r>
              <w:t xml:space="preserve">By: </w:t>
            </w:r>
            <w:r w:rsidR="00F8228A">
              <w:t>Harris</w:t>
            </w:r>
          </w:p>
        </w:tc>
      </w:tr>
      <w:tr w:rsidR="005E7155" w14:paraId="307A980F" w14:textId="77777777" w:rsidTr="00345119">
        <w:tc>
          <w:tcPr>
            <w:tcW w:w="9576" w:type="dxa"/>
          </w:tcPr>
          <w:p w14:paraId="40C3BEC6" w14:textId="1483AF24" w:rsidR="008423E4" w:rsidRPr="00861995" w:rsidRDefault="00CD1547" w:rsidP="005779DB">
            <w:pPr>
              <w:jc w:val="right"/>
            </w:pPr>
            <w:r>
              <w:t>Culture, Recreation &amp; Tourism</w:t>
            </w:r>
          </w:p>
        </w:tc>
      </w:tr>
      <w:tr w:rsidR="005E7155" w14:paraId="2553919F" w14:textId="77777777" w:rsidTr="00345119">
        <w:tc>
          <w:tcPr>
            <w:tcW w:w="9576" w:type="dxa"/>
          </w:tcPr>
          <w:p w14:paraId="6A284107" w14:textId="49B64617" w:rsidR="008423E4" w:rsidRDefault="00CD1547" w:rsidP="005779DB">
            <w:pPr>
              <w:jc w:val="right"/>
            </w:pPr>
            <w:r>
              <w:t>Committee Report (Substituted)</w:t>
            </w:r>
          </w:p>
        </w:tc>
      </w:tr>
    </w:tbl>
    <w:p w14:paraId="12063FB4" w14:textId="77777777" w:rsidR="008423E4" w:rsidRDefault="008423E4" w:rsidP="005779DB">
      <w:pPr>
        <w:tabs>
          <w:tab w:val="right" w:pos="9360"/>
        </w:tabs>
      </w:pPr>
    </w:p>
    <w:p w14:paraId="14C6A60C" w14:textId="77777777" w:rsidR="008423E4" w:rsidRDefault="008423E4" w:rsidP="005779DB"/>
    <w:p w14:paraId="23DCE30B" w14:textId="77777777" w:rsidR="008423E4" w:rsidRDefault="008423E4" w:rsidP="005779DB"/>
    <w:tbl>
      <w:tblPr>
        <w:tblW w:w="0" w:type="auto"/>
        <w:tblCellMar>
          <w:left w:w="115" w:type="dxa"/>
          <w:right w:w="115" w:type="dxa"/>
        </w:tblCellMar>
        <w:tblLook w:val="01E0" w:firstRow="1" w:lastRow="1" w:firstColumn="1" w:lastColumn="1" w:noHBand="0" w:noVBand="0"/>
      </w:tblPr>
      <w:tblGrid>
        <w:gridCol w:w="9360"/>
      </w:tblGrid>
      <w:tr w:rsidR="005E7155" w14:paraId="7E6FA2A4" w14:textId="77777777" w:rsidTr="00571D1A">
        <w:tc>
          <w:tcPr>
            <w:tcW w:w="9360" w:type="dxa"/>
          </w:tcPr>
          <w:p w14:paraId="6BFED7D0" w14:textId="77777777" w:rsidR="008423E4" w:rsidRPr="00A8133F" w:rsidRDefault="00CD1547" w:rsidP="005779DB">
            <w:pPr>
              <w:rPr>
                <w:b/>
              </w:rPr>
            </w:pPr>
            <w:r w:rsidRPr="009C1E9A">
              <w:rPr>
                <w:b/>
                <w:u w:val="single"/>
              </w:rPr>
              <w:t>BACKGROUND AND PURPOSE</w:t>
            </w:r>
            <w:r>
              <w:rPr>
                <w:b/>
              </w:rPr>
              <w:t xml:space="preserve"> </w:t>
            </w:r>
          </w:p>
          <w:p w14:paraId="2AAA36F5" w14:textId="77777777" w:rsidR="008423E4" w:rsidRDefault="008423E4" w:rsidP="005779DB"/>
          <w:p w14:paraId="5F0B1A29" w14:textId="677263A5" w:rsidR="008423E4" w:rsidRDefault="00CD1547" w:rsidP="005779DB">
            <w:pPr>
              <w:pStyle w:val="Header"/>
              <w:tabs>
                <w:tab w:val="clear" w:pos="4320"/>
                <w:tab w:val="clear" w:pos="8640"/>
              </w:tabs>
              <w:jc w:val="both"/>
            </w:pPr>
            <w:r w:rsidRPr="00B1640F">
              <w:t xml:space="preserve">On February 24, 1836, </w:t>
            </w:r>
            <w:r w:rsidR="00EC39E7" w:rsidRPr="00B1640F">
              <w:t>William B. Travis</w:t>
            </w:r>
            <w:r w:rsidR="00EC39E7">
              <w:t>,</w:t>
            </w:r>
            <w:r w:rsidR="00EC39E7" w:rsidRPr="00B1640F">
              <w:t xml:space="preserve"> </w:t>
            </w:r>
            <w:r w:rsidRPr="00B1640F">
              <w:t xml:space="preserve">with the garrison surrounded and the Texan Army at the Alamo outnumbered, </w:t>
            </w:r>
            <w:r w:rsidR="00EC39E7">
              <w:t xml:space="preserve">wrote </w:t>
            </w:r>
            <w:r w:rsidRPr="00B1640F">
              <w:t>one of the most famous letters in American history</w:t>
            </w:r>
            <w:r w:rsidR="00EC39E7">
              <w:t xml:space="preserve"> </w:t>
            </w:r>
            <w:r w:rsidRPr="00B1640F">
              <w:t xml:space="preserve">addressed </w:t>
            </w:r>
            <w:r w:rsidR="00CE48D7">
              <w:t>"</w:t>
            </w:r>
            <w:r w:rsidRPr="00B1640F">
              <w:t>To the People of Texas and All Americans in the World.</w:t>
            </w:r>
            <w:r w:rsidR="00CE48D7">
              <w:t>"</w:t>
            </w:r>
            <w:r w:rsidRPr="00B1640F">
              <w:t xml:space="preserve"> This letter was a passionate plea for aid for the Alamo garrison</w:t>
            </w:r>
            <w:r w:rsidR="00EC39E7">
              <w:t xml:space="preserve"> and ended with</w:t>
            </w:r>
            <w:r w:rsidRPr="00B1640F">
              <w:t xml:space="preserve"> </w:t>
            </w:r>
            <w:r w:rsidR="00CE48D7">
              <w:t>"</w:t>
            </w:r>
            <w:r w:rsidRPr="00B1640F">
              <w:t>Victory or Death</w:t>
            </w:r>
            <w:r w:rsidR="00565E52">
              <w:t>.</w:t>
            </w:r>
            <w:r w:rsidR="00CE48D7">
              <w:t>"</w:t>
            </w:r>
            <w:r w:rsidRPr="00B1640F">
              <w:t xml:space="preserve"> Currently, </w:t>
            </w:r>
            <w:r w:rsidR="00DA7466">
              <w:t xml:space="preserve">the </w:t>
            </w:r>
            <w:r w:rsidR="00FA0C31">
              <w:t xml:space="preserve">victory </w:t>
            </w:r>
            <w:r w:rsidR="00DA7466">
              <w:t xml:space="preserve">or </w:t>
            </w:r>
            <w:r w:rsidR="00FA0C31">
              <w:t>death</w:t>
            </w:r>
            <w:r w:rsidR="00FA0C31" w:rsidRPr="00B1640F">
              <w:t xml:space="preserve"> </w:t>
            </w:r>
            <w:r w:rsidRPr="00B1640F">
              <w:t>letter is in the care and custody of the Texas State Library and Archives Commission</w:t>
            </w:r>
            <w:r w:rsidR="00962820">
              <w:t xml:space="preserve"> (TSLAC)</w:t>
            </w:r>
            <w:r w:rsidR="00EC39E7">
              <w:t>, and</w:t>
            </w:r>
            <w:r w:rsidRPr="00B1640F">
              <w:t xml:space="preserve"> </w:t>
            </w:r>
            <w:r w:rsidR="00EC39E7">
              <w:t>o</w:t>
            </w:r>
            <w:r w:rsidRPr="00B1640F">
              <w:t xml:space="preserve">n very few occasions has been escorted by </w:t>
            </w:r>
            <w:r w:rsidR="00DA7466">
              <w:t>the Department of Public Safety</w:t>
            </w:r>
            <w:r w:rsidRPr="00B1640F">
              <w:t xml:space="preserve"> to the Al</w:t>
            </w:r>
            <w:r w:rsidRPr="00B1640F">
              <w:t xml:space="preserve">amo Grounds for display to the people of Texas and the world. In June 2023, Governor Greg Abbott signed into law the more than $400 million appropriations request contained within the </w:t>
            </w:r>
            <w:r w:rsidR="003D3D5A">
              <w:t>state budget</w:t>
            </w:r>
            <w:r w:rsidRPr="00B1640F">
              <w:t xml:space="preserve"> for the Alamo Plan</w:t>
            </w:r>
            <w:r w:rsidR="00EC39E7">
              <w:t>,</w:t>
            </w:r>
            <w:r w:rsidRPr="00B1640F">
              <w:t xml:space="preserve"> supporting the comprehensive restoration and revitalization efforts of the Alamo</w:t>
            </w:r>
            <w:r w:rsidR="00EC39E7">
              <w:t xml:space="preserve"> and</w:t>
            </w:r>
            <w:r w:rsidRPr="00B1640F">
              <w:t xml:space="preserve"> the opening of a state-of-the art Alamo Visitor Center and Museum.</w:t>
            </w:r>
            <w:r>
              <w:t xml:space="preserve"> </w:t>
            </w:r>
            <w:r w:rsidR="00EC39E7">
              <w:t>The bill author has informed the committee that, w</w:t>
            </w:r>
            <w:r w:rsidRPr="00B1640F">
              <w:t xml:space="preserve">ith the Alamo Plaza under renovation to commemorate and remember the Battle of the Alamo and its legacy, it would be appropriate to bring the </w:t>
            </w:r>
            <w:r w:rsidR="00A67B76">
              <w:t xml:space="preserve">victory </w:t>
            </w:r>
            <w:r w:rsidR="00870602">
              <w:t xml:space="preserve">or </w:t>
            </w:r>
            <w:r w:rsidR="00A67B76">
              <w:t xml:space="preserve">death </w:t>
            </w:r>
            <w:r w:rsidR="00870602">
              <w:t>l</w:t>
            </w:r>
            <w:r w:rsidRPr="00B1640F">
              <w:t xml:space="preserve">etter home to its place of origin. </w:t>
            </w:r>
            <w:r w:rsidR="00DA7466">
              <w:t>C.S.</w:t>
            </w:r>
            <w:r w:rsidRPr="00B1640F">
              <w:t>H</w:t>
            </w:r>
            <w:r w:rsidR="00DA7466">
              <w:t>.</w:t>
            </w:r>
            <w:r w:rsidRPr="00B1640F">
              <w:t>B</w:t>
            </w:r>
            <w:r w:rsidR="00DA7466">
              <w:t>.</w:t>
            </w:r>
            <w:r w:rsidRPr="00B1640F">
              <w:t xml:space="preserve"> 1397 </w:t>
            </w:r>
            <w:r w:rsidR="00962820">
              <w:t xml:space="preserve">seeks to address this issue by establishing that TSLAC is responsible for </w:t>
            </w:r>
            <w:r w:rsidR="00962820" w:rsidRPr="00962820">
              <w:t>the care and custody of the Texas Constitution, the Texas Declaration of Independence, and the victory or death letter</w:t>
            </w:r>
            <w:r w:rsidR="00ED6500">
              <w:t>, and by requiring TSLAC to</w:t>
            </w:r>
            <w:r w:rsidR="00962820" w:rsidRPr="00962820">
              <w:t xml:space="preserve"> </w:t>
            </w:r>
            <w:r w:rsidR="00ED6500" w:rsidRPr="000D040D">
              <w:t xml:space="preserve">designate an appropriate place in the Alamo </w:t>
            </w:r>
            <w:r w:rsidR="00305D0C">
              <w:t>C</w:t>
            </w:r>
            <w:r w:rsidR="00ED6500" w:rsidRPr="000D040D">
              <w:t xml:space="preserve">omplex </w:t>
            </w:r>
            <w:r w:rsidR="00A5419F">
              <w:t>to</w:t>
            </w:r>
            <w:r w:rsidR="00ED6500" w:rsidRPr="000D040D">
              <w:t xml:space="preserve"> securely transfer </w:t>
            </w:r>
            <w:r w:rsidR="00A5419F">
              <w:t xml:space="preserve">and display </w:t>
            </w:r>
            <w:r w:rsidR="00ED6500" w:rsidRPr="000D040D">
              <w:t>the letter</w:t>
            </w:r>
            <w:r w:rsidR="00ED6500">
              <w:t>.</w:t>
            </w:r>
          </w:p>
          <w:p w14:paraId="47F789D6" w14:textId="77777777" w:rsidR="008423E4" w:rsidRPr="00E26B13" w:rsidRDefault="008423E4" w:rsidP="005779DB">
            <w:pPr>
              <w:rPr>
                <w:b/>
              </w:rPr>
            </w:pPr>
          </w:p>
        </w:tc>
      </w:tr>
      <w:tr w:rsidR="005E7155" w14:paraId="30693E59" w14:textId="77777777" w:rsidTr="00571D1A">
        <w:tc>
          <w:tcPr>
            <w:tcW w:w="9360" w:type="dxa"/>
          </w:tcPr>
          <w:p w14:paraId="1BBF6DDC" w14:textId="77777777" w:rsidR="0017725B" w:rsidRDefault="00CD1547" w:rsidP="005779DB">
            <w:pPr>
              <w:rPr>
                <w:b/>
                <w:u w:val="single"/>
              </w:rPr>
            </w:pPr>
            <w:r>
              <w:rPr>
                <w:b/>
                <w:u w:val="single"/>
              </w:rPr>
              <w:t>CRIMINAL JUSTICE IMPACT</w:t>
            </w:r>
          </w:p>
          <w:p w14:paraId="19E64334" w14:textId="77777777" w:rsidR="0017725B" w:rsidRDefault="0017725B" w:rsidP="005779DB">
            <w:pPr>
              <w:rPr>
                <w:b/>
                <w:u w:val="single"/>
              </w:rPr>
            </w:pPr>
          </w:p>
          <w:p w14:paraId="32FCF88C" w14:textId="2DD7D5EC" w:rsidR="00C21A22" w:rsidRPr="00C21A22" w:rsidRDefault="00CD1547" w:rsidP="005779D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DD2F0B5" w14:textId="77777777" w:rsidR="0017725B" w:rsidRPr="0017725B" w:rsidRDefault="0017725B" w:rsidP="005779DB">
            <w:pPr>
              <w:rPr>
                <w:b/>
                <w:u w:val="single"/>
              </w:rPr>
            </w:pPr>
          </w:p>
        </w:tc>
      </w:tr>
      <w:tr w:rsidR="005E7155" w14:paraId="1D397BCF" w14:textId="77777777" w:rsidTr="00571D1A">
        <w:tc>
          <w:tcPr>
            <w:tcW w:w="9360" w:type="dxa"/>
          </w:tcPr>
          <w:p w14:paraId="5089BA11" w14:textId="77777777" w:rsidR="008423E4" w:rsidRPr="00A8133F" w:rsidRDefault="00CD1547" w:rsidP="005779DB">
            <w:pPr>
              <w:rPr>
                <w:b/>
              </w:rPr>
            </w:pPr>
            <w:r w:rsidRPr="009C1E9A">
              <w:rPr>
                <w:b/>
                <w:u w:val="single"/>
              </w:rPr>
              <w:t>RULEMAKING AUTHORITY</w:t>
            </w:r>
            <w:r>
              <w:rPr>
                <w:b/>
              </w:rPr>
              <w:t xml:space="preserve"> </w:t>
            </w:r>
          </w:p>
          <w:p w14:paraId="4EB400EE" w14:textId="77777777" w:rsidR="008423E4" w:rsidRDefault="008423E4" w:rsidP="005779DB"/>
          <w:p w14:paraId="7B6117A4" w14:textId="56D4E62A" w:rsidR="00C21A22" w:rsidRDefault="00CD1547" w:rsidP="005779D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0F47500" w14:textId="77777777" w:rsidR="008423E4" w:rsidRPr="00E21FDC" w:rsidRDefault="008423E4" w:rsidP="005779DB">
            <w:pPr>
              <w:rPr>
                <w:b/>
              </w:rPr>
            </w:pPr>
          </w:p>
        </w:tc>
      </w:tr>
      <w:tr w:rsidR="005E7155" w14:paraId="4F0FF0E2" w14:textId="77777777" w:rsidTr="00571D1A">
        <w:tc>
          <w:tcPr>
            <w:tcW w:w="9360" w:type="dxa"/>
          </w:tcPr>
          <w:p w14:paraId="414F82E0" w14:textId="77777777" w:rsidR="008423E4" w:rsidRPr="00A8133F" w:rsidRDefault="00CD1547" w:rsidP="005779DB">
            <w:pPr>
              <w:rPr>
                <w:b/>
              </w:rPr>
            </w:pPr>
            <w:r w:rsidRPr="009C1E9A">
              <w:rPr>
                <w:b/>
                <w:u w:val="single"/>
              </w:rPr>
              <w:t>ANALYSIS</w:t>
            </w:r>
            <w:r>
              <w:rPr>
                <w:b/>
              </w:rPr>
              <w:t xml:space="preserve"> </w:t>
            </w:r>
          </w:p>
          <w:p w14:paraId="225C9A94" w14:textId="77777777" w:rsidR="008423E4" w:rsidRDefault="008423E4" w:rsidP="005779DB"/>
          <w:p w14:paraId="5EE31808" w14:textId="6B0853AD" w:rsidR="000D040D" w:rsidRDefault="00CD1547" w:rsidP="005779DB">
            <w:pPr>
              <w:pStyle w:val="Header"/>
              <w:jc w:val="both"/>
            </w:pPr>
            <w:r>
              <w:t>C.S.</w:t>
            </w:r>
            <w:r w:rsidR="005D1F43">
              <w:t xml:space="preserve">H.B. 1397 amends the </w:t>
            </w:r>
            <w:r>
              <w:t>Government</w:t>
            </w:r>
            <w:r w:rsidR="005D1F43" w:rsidRPr="005D1F43">
              <w:t xml:space="preserve"> Code</w:t>
            </w:r>
            <w:r w:rsidR="005D1F43">
              <w:t xml:space="preserve"> to establish that </w:t>
            </w:r>
            <w:r w:rsidR="009950FD">
              <w:t xml:space="preserve">the </w:t>
            </w:r>
            <w:r w:rsidR="009D3001" w:rsidRPr="009D3001">
              <w:t>Texas State Library and Archives Commission</w:t>
            </w:r>
            <w:r w:rsidR="009D3001">
              <w:t xml:space="preserve"> (</w:t>
            </w:r>
            <w:r w:rsidR="009D3001" w:rsidRPr="009D3001">
              <w:t>TSLAC)</w:t>
            </w:r>
            <w:r w:rsidR="009D3001">
              <w:t xml:space="preserve"> </w:t>
            </w:r>
            <w:r w:rsidR="005D1F43" w:rsidRPr="005D1F43">
              <w:t>is responsible for the care and custody</w:t>
            </w:r>
            <w:r w:rsidR="005D1F43">
              <w:t xml:space="preserve"> of </w:t>
            </w:r>
            <w:r w:rsidR="009D3001" w:rsidRPr="009D3001">
              <w:t>the Texas Constitution, the Texas Declaration of Independence</w:t>
            </w:r>
            <w:r w:rsidR="009D3001">
              <w:t xml:space="preserve">, and </w:t>
            </w:r>
            <w:r w:rsidR="005D1F43" w:rsidRPr="005D1F43">
              <w:t xml:space="preserve">the </w:t>
            </w:r>
            <w:r w:rsidR="00A44F19">
              <w:t xml:space="preserve">victory or death </w:t>
            </w:r>
            <w:r w:rsidR="005D1F43" w:rsidRPr="005D1F43">
              <w:t xml:space="preserve">letter written by Lieutenant Colonel William B. Travis dated February 24, 1836, and signed </w:t>
            </w:r>
            <w:r w:rsidR="00CE48D7">
              <w:t>"</w:t>
            </w:r>
            <w:r w:rsidR="005D1F43" w:rsidRPr="005D1F43">
              <w:t>Victory or Death.</w:t>
            </w:r>
            <w:r w:rsidR="00CE48D7">
              <w:t>"</w:t>
            </w:r>
            <w:r w:rsidR="005D1F43">
              <w:t xml:space="preserve"> The bill requires </w:t>
            </w:r>
            <w:r w:rsidR="009D3001">
              <w:t>TSLAC</w:t>
            </w:r>
            <w:r w:rsidR="005D1F43">
              <w:t xml:space="preserve"> to designate an appropriate place in the Alamo complex for the </w:t>
            </w:r>
            <w:r w:rsidR="009D3001" w:rsidRPr="009D3001">
              <w:t xml:space="preserve">secure </w:t>
            </w:r>
            <w:r w:rsidR="005D1F43">
              <w:t xml:space="preserve">display of the </w:t>
            </w:r>
            <w:r w:rsidR="009D3001">
              <w:t xml:space="preserve">victory or death </w:t>
            </w:r>
            <w:r w:rsidR="005D1F43">
              <w:t>letter</w:t>
            </w:r>
            <w:r>
              <w:t xml:space="preserve"> and</w:t>
            </w:r>
            <w:r w:rsidR="00A44F19">
              <w:t>,</w:t>
            </w:r>
            <w:r>
              <w:t xml:space="preserve"> </w:t>
            </w:r>
            <w:r w:rsidRPr="000D040D">
              <w:t>on the Texas Historical Commission's determination that t</w:t>
            </w:r>
            <w:r w:rsidRPr="000D040D">
              <w:t xml:space="preserve">he transfer to and display of the letter at the Alamo complex is safe and appropriate, </w:t>
            </w:r>
            <w:r w:rsidR="00F7611F">
              <w:t xml:space="preserve">to </w:t>
            </w:r>
            <w:r w:rsidRPr="000D040D">
              <w:t>transfer the letter to that location for display</w:t>
            </w:r>
            <w:r>
              <w:t xml:space="preserve">. </w:t>
            </w:r>
            <w:r w:rsidR="00F7611F">
              <w:t xml:space="preserve">The bill requires </w:t>
            </w:r>
            <w:r>
              <w:t>TSLAC</w:t>
            </w:r>
            <w:r w:rsidR="00F7611F">
              <w:t>,</w:t>
            </w:r>
            <w:r>
              <w:t xml:space="preserve"> </w:t>
            </w:r>
            <w:r w:rsidR="00F7611F">
              <w:t>u</w:t>
            </w:r>
            <w:r w:rsidR="00F7611F" w:rsidRPr="000D040D">
              <w:t xml:space="preserve">ntil </w:t>
            </w:r>
            <w:r w:rsidR="00F7611F">
              <w:t xml:space="preserve">TSLAC </w:t>
            </w:r>
            <w:r w:rsidR="00F7611F" w:rsidRPr="000D040D">
              <w:t xml:space="preserve">designates an appropriate place in the Alamo complex to display the victory or death letter and in collaboration with the Texas Historical Commission determines an appropriate time to securely transfer the letter to that place, </w:t>
            </w:r>
            <w:r w:rsidR="00F7611F">
              <w:t>to</w:t>
            </w:r>
            <w:r w:rsidRPr="000D040D">
              <w:t xml:space="preserve"> display the letter in the public location at the Capitol Complex at which the Texas Constitution and the</w:t>
            </w:r>
            <w:r w:rsidRPr="000D040D">
              <w:t xml:space="preserve"> Texas Declaration of Independence are displayed</w:t>
            </w:r>
            <w:r>
              <w:t xml:space="preserve">. The bill requires TSLAC to </w:t>
            </w:r>
            <w:r w:rsidRPr="000D040D">
              <w:t xml:space="preserve">collaborate with the Texas Historical Commission and State Preservation Board </w:t>
            </w:r>
            <w:r w:rsidR="000415AB">
              <w:t xml:space="preserve">(SPB) </w:t>
            </w:r>
            <w:r w:rsidRPr="000D040D">
              <w:t>to determine an appropriate public location at the Capitol Complex for the secure display of the Texas Constitution and the Texas Declaration of Independence.</w:t>
            </w:r>
          </w:p>
          <w:p w14:paraId="38685BD7" w14:textId="77777777" w:rsidR="00A44F19" w:rsidRDefault="00A44F19" w:rsidP="005779DB">
            <w:pPr>
              <w:pStyle w:val="Header"/>
              <w:jc w:val="both"/>
            </w:pPr>
          </w:p>
          <w:p w14:paraId="6FC02B07" w14:textId="77777777" w:rsidR="008423E4" w:rsidRDefault="00CD1547" w:rsidP="005779DB">
            <w:pPr>
              <w:pStyle w:val="Header"/>
              <w:jc w:val="both"/>
            </w:pPr>
            <w:r>
              <w:t xml:space="preserve">C.S.H.B. 1397 requires costs </w:t>
            </w:r>
            <w:r w:rsidRPr="00A44F19">
              <w:t xml:space="preserve">attributable to the display of the victory or death letter, the Texas Constitution, and the Texas Declaration of Independence </w:t>
            </w:r>
            <w:r>
              <w:t>to</w:t>
            </w:r>
            <w:r w:rsidRPr="00A44F19">
              <w:t xml:space="preserve"> be paid by </w:t>
            </w:r>
            <w:r>
              <w:t>TSLAC</w:t>
            </w:r>
            <w:r w:rsidRPr="00A44F19">
              <w:t xml:space="preserve">, using money available to </w:t>
            </w:r>
            <w:r>
              <w:t xml:space="preserve">TSLAC </w:t>
            </w:r>
            <w:r w:rsidRPr="00A44F19">
              <w:t>for that purpose.</w:t>
            </w:r>
          </w:p>
          <w:p w14:paraId="62862395" w14:textId="5AD02199" w:rsidR="005779DB" w:rsidRPr="00835628" w:rsidRDefault="005779DB" w:rsidP="005779DB">
            <w:pPr>
              <w:pStyle w:val="Header"/>
              <w:jc w:val="both"/>
              <w:rPr>
                <w:b/>
              </w:rPr>
            </w:pPr>
          </w:p>
        </w:tc>
      </w:tr>
      <w:tr w:rsidR="005E7155" w14:paraId="4B4C9CB9" w14:textId="77777777" w:rsidTr="00571D1A">
        <w:tc>
          <w:tcPr>
            <w:tcW w:w="9360" w:type="dxa"/>
          </w:tcPr>
          <w:p w14:paraId="3198DB34" w14:textId="77777777" w:rsidR="008423E4" w:rsidRPr="00A8133F" w:rsidRDefault="00CD1547" w:rsidP="005779DB">
            <w:pPr>
              <w:rPr>
                <w:b/>
              </w:rPr>
            </w:pPr>
            <w:r w:rsidRPr="009C1E9A">
              <w:rPr>
                <w:b/>
                <w:u w:val="single"/>
              </w:rPr>
              <w:t>EFFECTIVE DATE</w:t>
            </w:r>
            <w:r>
              <w:rPr>
                <w:b/>
              </w:rPr>
              <w:t xml:space="preserve"> </w:t>
            </w:r>
          </w:p>
          <w:p w14:paraId="501E3035" w14:textId="77777777" w:rsidR="008423E4" w:rsidRDefault="008423E4" w:rsidP="005779DB"/>
          <w:p w14:paraId="312C44AF" w14:textId="589EBF79" w:rsidR="008423E4" w:rsidRPr="003624F2" w:rsidRDefault="00CD1547" w:rsidP="005779DB">
            <w:pPr>
              <w:pStyle w:val="Header"/>
              <w:tabs>
                <w:tab w:val="clear" w:pos="4320"/>
                <w:tab w:val="clear" w:pos="8640"/>
              </w:tabs>
              <w:jc w:val="both"/>
            </w:pPr>
            <w:r>
              <w:t>September 1, 2025.</w:t>
            </w:r>
          </w:p>
          <w:p w14:paraId="0A53C8D7" w14:textId="77777777" w:rsidR="008423E4" w:rsidRPr="00233FDB" w:rsidRDefault="008423E4" w:rsidP="005779DB">
            <w:pPr>
              <w:rPr>
                <w:b/>
              </w:rPr>
            </w:pPr>
          </w:p>
        </w:tc>
      </w:tr>
      <w:tr w:rsidR="005E7155" w14:paraId="484F1430" w14:textId="77777777" w:rsidTr="00571D1A">
        <w:tc>
          <w:tcPr>
            <w:tcW w:w="9360" w:type="dxa"/>
          </w:tcPr>
          <w:p w14:paraId="3A6C5EB8" w14:textId="77777777" w:rsidR="00F8228A" w:rsidRDefault="00CD1547" w:rsidP="005779DB">
            <w:pPr>
              <w:jc w:val="both"/>
              <w:rPr>
                <w:b/>
                <w:u w:val="single"/>
              </w:rPr>
            </w:pPr>
            <w:r>
              <w:rPr>
                <w:b/>
                <w:u w:val="single"/>
              </w:rPr>
              <w:t>COMPARISON OF INTRODUCED AND SUBSTITUTE</w:t>
            </w:r>
          </w:p>
          <w:p w14:paraId="715BEAD6" w14:textId="77777777" w:rsidR="00E7504D" w:rsidRDefault="00E7504D" w:rsidP="005779DB">
            <w:pPr>
              <w:jc w:val="both"/>
            </w:pPr>
          </w:p>
          <w:p w14:paraId="1B5C9B2F" w14:textId="3F3223D3" w:rsidR="00E7504D" w:rsidRDefault="00CD1547" w:rsidP="005779DB">
            <w:pPr>
              <w:jc w:val="both"/>
            </w:pPr>
            <w:r>
              <w:t>While C.S.H.B. 1397 may differ from the introduced in minor or nonsubstantive</w:t>
            </w:r>
            <w:r>
              <w:t xml:space="preserve"> ways, the following summarizes the substantial differences between the introduced and committee substitute versions of the bill.</w:t>
            </w:r>
          </w:p>
          <w:p w14:paraId="1AD83CEF" w14:textId="77777777" w:rsidR="00A44F19" w:rsidRDefault="00A44F19" w:rsidP="005779DB">
            <w:pPr>
              <w:jc w:val="both"/>
            </w:pPr>
          </w:p>
          <w:p w14:paraId="348795A3" w14:textId="5FEB012D" w:rsidR="00B802AB" w:rsidRDefault="00CD1547" w:rsidP="005779DB">
            <w:pPr>
              <w:jc w:val="both"/>
            </w:pPr>
            <w:r>
              <w:t>While t</w:t>
            </w:r>
            <w:r w:rsidR="000C08F5">
              <w:t xml:space="preserve">he introduced established </w:t>
            </w:r>
            <w:r w:rsidR="000C57CE">
              <w:t xml:space="preserve">in the Natural Resources Code </w:t>
            </w:r>
            <w:r w:rsidR="000C08F5">
              <w:t xml:space="preserve">that the General Land Office (GLO) </w:t>
            </w:r>
            <w:r w:rsidR="000C08F5" w:rsidRPr="000C08F5">
              <w:t>is responsible for the care and custody of the victory or death letter</w:t>
            </w:r>
            <w:r w:rsidR="000C08F5">
              <w:t xml:space="preserve">, the substitute establishes </w:t>
            </w:r>
            <w:r w:rsidR="000C57CE">
              <w:t xml:space="preserve">in the Government Code </w:t>
            </w:r>
            <w:r w:rsidR="000C08F5">
              <w:t xml:space="preserve">that TSLAC </w:t>
            </w:r>
            <w:r w:rsidR="000C08F5" w:rsidRPr="000C08F5">
              <w:t>is responsible for the care and custody of the victory or death letter, the Texas Constitution, and the Texas Declaration of Independence</w:t>
            </w:r>
            <w:r w:rsidR="000C08F5">
              <w:t xml:space="preserve">. The substitute revises the introduced </w:t>
            </w:r>
            <w:r w:rsidR="00FE48CB">
              <w:t xml:space="preserve">version's requirement for </w:t>
            </w:r>
            <w:r w:rsidR="000C08F5">
              <w:t xml:space="preserve">the GLO to </w:t>
            </w:r>
            <w:r w:rsidR="000C08F5" w:rsidRPr="000C08F5">
              <w:t>designate an appropriate place in the Alamo complex for the storage and display of the victory or death letter</w:t>
            </w:r>
            <w:r w:rsidR="000C08F5">
              <w:t xml:space="preserve"> as follows:</w:t>
            </w:r>
          </w:p>
          <w:p w14:paraId="26FC8B33" w14:textId="1D70DFD2" w:rsidR="000C08F5" w:rsidRDefault="00CD1547" w:rsidP="005779DB">
            <w:pPr>
              <w:pStyle w:val="ListParagraph"/>
              <w:numPr>
                <w:ilvl w:val="0"/>
                <w:numId w:val="1"/>
              </w:numPr>
              <w:contextualSpacing w:val="0"/>
              <w:jc w:val="both"/>
            </w:pPr>
            <w:r>
              <w:t>changes the applicability of the requirement from the GLO to TSLAC;</w:t>
            </w:r>
          </w:p>
          <w:p w14:paraId="64AA7549" w14:textId="25FE9620" w:rsidR="00412BEB" w:rsidRDefault="00CD1547" w:rsidP="005779DB">
            <w:pPr>
              <w:pStyle w:val="ListParagraph"/>
              <w:numPr>
                <w:ilvl w:val="0"/>
                <w:numId w:val="1"/>
              </w:numPr>
              <w:contextualSpacing w:val="0"/>
              <w:jc w:val="both"/>
            </w:pPr>
            <w:r>
              <w:t xml:space="preserve">changes the requirement to </w:t>
            </w:r>
            <w:r w:rsidRPr="00412BEB">
              <w:t>designate an appropriate place in the Alamo complex for the storage and display of the letter</w:t>
            </w:r>
            <w:r w:rsidR="00962820">
              <w:t>, as in the introduced,</w:t>
            </w:r>
            <w:r>
              <w:t xml:space="preserve"> to a requirement to designate </w:t>
            </w:r>
            <w:r w:rsidRPr="00412BEB">
              <w:t xml:space="preserve">an appropriate place in the Alamo complex </w:t>
            </w:r>
            <w:r>
              <w:t xml:space="preserve">for the </w:t>
            </w:r>
            <w:r w:rsidRPr="00412BEB">
              <w:t>secure display</w:t>
            </w:r>
            <w:r>
              <w:t xml:space="preserve"> of the letter; and</w:t>
            </w:r>
          </w:p>
          <w:p w14:paraId="6CAD0FE7" w14:textId="42364E6B" w:rsidR="00412BEB" w:rsidRDefault="00CD1547" w:rsidP="005779DB">
            <w:pPr>
              <w:pStyle w:val="ListParagraph"/>
              <w:numPr>
                <w:ilvl w:val="0"/>
                <w:numId w:val="1"/>
              </w:numPr>
              <w:contextualSpacing w:val="0"/>
              <w:jc w:val="both"/>
            </w:pPr>
            <w:r>
              <w:t xml:space="preserve">includes a requirement for TSLAC, </w:t>
            </w:r>
            <w:r w:rsidRPr="00412BEB">
              <w:t>on the Texas Historical Commission's determination that the transfer to and display of the letter at the Alamo complex is safe and appropriate,</w:t>
            </w:r>
            <w:r>
              <w:t xml:space="preserve"> to</w:t>
            </w:r>
            <w:r w:rsidRPr="00412BEB">
              <w:t xml:space="preserve"> transfer the letter to that location for display</w:t>
            </w:r>
            <w:r>
              <w:t>.</w:t>
            </w:r>
          </w:p>
          <w:p w14:paraId="29FD8075" w14:textId="3DD7AAB3" w:rsidR="00762E82" w:rsidRDefault="00CD1547" w:rsidP="005779DB">
            <w:pPr>
              <w:jc w:val="both"/>
            </w:pPr>
            <w:r>
              <w:t>Accordingly, the substitute omits the introduced version's provision establishing that any power or duty related to the letter formerly vested in another state agency or entity is vested solely in the GLO.</w:t>
            </w:r>
          </w:p>
          <w:p w14:paraId="0FCC8B2F" w14:textId="77777777" w:rsidR="00412BEB" w:rsidRDefault="00412BEB" w:rsidP="005779DB">
            <w:pPr>
              <w:jc w:val="both"/>
            </w:pPr>
          </w:p>
          <w:p w14:paraId="53C0A4E9" w14:textId="7FE0A65E" w:rsidR="00412BEB" w:rsidRDefault="00CD1547" w:rsidP="005779DB">
            <w:pPr>
              <w:jc w:val="both"/>
            </w:pPr>
            <w:r>
              <w:t xml:space="preserve">The substitute includes the following </w:t>
            </w:r>
            <w:r w:rsidR="000415AB">
              <w:t>requirements</w:t>
            </w:r>
            <w:r>
              <w:t xml:space="preserve"> </w:t>
            </w:r>
            <w:r w:rsidR="000415AB">
              <w:t>that were not in</w:t>
            </w:r>
            <w:r>
              <w:t xml:space="preserve"> the introduced:</w:t>
            </w:r>
          </w:p>
          <w:p w14:paraId="6658C048" w14:textId="4BD7D7EA" w:rsidR="00412BEB" w:rsidRDefault="00CD1547" w:rsidP="005779DB">
            <w:pPr>
              <w:pStyle w:val="ListParagraph"/>
              <w:numPr>
                <w:ilvl w:val="0"/>
                <w:numId w:val="2"/>
              </w:numPr>
              <w:contextualSpacing w:val="0"/>
              <w:jc w:val="both"/>
            </w:pPr>
            <w:r>
              <w:t>for TSLAC, until TSLAC</w:t>
            </w:r>
            <w:r w:rsidRPr="00412BEB">
              <w:t xml:space="preserve"> designates an appropriate place in the Alamo complex to display the victory or death letter and in collaboration with the Texas Historical Commission determines an appropriate time to securely transfer the letter to that place, t</w:t>
            </w:r>
            <w:r>
              <w:t>o</w:t>
            </w:r>
            <w:r w:rsidRPr="00412BEB">
              <w:t xml:space="preserve"> display the letter in the public location at the Capitol Complex at which the Texas Constitution and the Texas Declaration of Independence are displayed</w:t>
            </w:r>
            <w:r>
              <w:t>;</w:t>
            </w:r>
          </w:p>
          <w:p w14:paraId="31FC7819" w14:textId="76CB2ED4" w:rsidR="000415AB" w:rsidRDefault="00CD1547" w:rsidP="005779DB">
            <w:pPr>
              <w:pStyle w:val="ListParagraph"/>
              <w:numPr>
                <w:ilvl w:val="0"/>
                <w:numId w:val="2"/>
              </w:numPr>
              <w:contextualSpacing w:val="0"/>
              <w:jc w:val="both"/>
            </w:pPr>
            <w:r>
              <w:t xml:space="preserve">for TSLAC to </w:t>
            </w:r>
            <w:r w:rsidRPr="000415AB">
              <w:t xml:space="preserve">collaborate with the Texas Historical Commission and </w:t>
            </w:r>
            <w:r>
              <w:t>SPB</w:t>
            </w:r>
            <w:r w:rsidRPr="000415AB">
              <w:t xml:space="preserve"> to determine an appropriate public location at the Capitol Complex for the secure display of the Texas Constitution and the Texas Declaration of Independence</w:t>
            </w:r>
            <w:r>
              <w:t>; and</w:t>
            </w:r>
          </w:p>
          <w:p w14:paraId="42A134B1" w14:textId="5C74BE7B" w:rsidR="00412BEB" w:rsidRDefault="00CD1547" w:rsidP="005779DB">
            <w:pPr>
              <w:pStyle w:val="ListParagraph"/>
              <w:numPr>
                <w:ilvl w:val="0"/>
                <w:numId w:val="2"/>
              </w:numPr>
              <w:contextualSpacing w:val="0"/>
              <w:jc w:val="both"/>
            </w:pPr>
            <w:r>
              <w:t>for c</w:t>
            </w:r>
            <w:r w:rsidRPr="000415AB">
              <w:t xml:space="preserve">osts attributable to the display of the victory or death letter, the Texas Constitution, and the Texas Declaration of Independence </w:t>
            </w:r>
            <w:r>
              <w:t>to</w:t>
            </w:r>
            <w:r w:rsidRPr="000415AB">
              <w:t xml:space="preserve"> be paid by </w:t>
            </w:r>
            <w:r>
              <w:t>TSLAC</w:t>
            </w:r>
            <w:r w:rsidRPr="000415AB">
              <w:t xml:space="preserve">, using money available to </w:t>
            </w:r>
            <w:r>
              <w:t xml:space="preserve">TSLAC </w:t>
            </w:r>
            <w:r w:rsidRPr="000415AB">
              <w:t>for that purpose.</w:t>
            </w:r>
          </w:p>
          <w:p w14:paraId="65F021D7" w14:textId="6E4D0242" w:rsidR="00E7504D" w:rsidRPr="00E7504D" w:rsidRDefault="00E7504D" w:rsidP="005779DB">
            <w:pPr>
              <w:jc w:val="both"/>
            </w:pPr>
          </w:p>
        </w:tc>
      </w:tr>
    </w:tbl>
    <w:p w14:paraId="55253D06" w14:textId="77777777" w:rsidR="008423E4" w:rsidRPr="00BE0E75" w:rsidRDefault="008423E4" w:rsidP="005779DB">
      <w:pPr>
        <w:jc w:val="both"/>
        <w:rPr>
          <w:rFonts w:ascii="Arial" w:hAnsi="Arial"/>
          <w:sz w:val="16"/>
          <w:szCs w:val="16"/>
        </w:rPr>
      </w:pPr>
    </w:p>
    <w:p w14:paraId="10A2E487" w14:textId="77777777" w:rsidR="004108C3" w:rsidRPr="008423E4" w:rsidRDefault="004108C3" w:rsidP="005779D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0590" w14:textId="77777777" w:rsidR="00CD1547" w:rsidRDefault="00CD1547">
      <w:r>
        <w:separator/>
      </w:r>
    </w:p>
  </w:endnote>
  <w:endnote w:type="continuationSeparator" w:id="0">
    <w:p w14:paraId="4BD00C0C" w14:textId="77777777" w:rsidR="00CD1547" w:rsidRDefault="00CD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2DA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E7155" w14:paraId="5D53D544" w14:textId="77777777" w:rsidTr="009C1E9A">
      <w:trPr>
        <w:cantSplit/>
      </w:trPr>
      <w:tc>
        <w:tcPr>
          <w:tcW w:w="0" w:type="pct"/>
        </w:tcPr>
        <w:p w14:paraId="18818922" w14:textId="77777777" w:rsidR="00137D90" w:rsidRDefault="00137D90" w:rsidP="009C1E9A">
          <w:pPr>
            <w:pStyle w:val="Footer"/>
            <w:tabs>
              <w:tab w:val="clear" w:pos="8640"/>
              <w:tab w:val="right" w:pos="9360"/>
            </w:tabs>
          </w:pPr>
        </w:p>
      </w:tc>
      <w:tc>
        <w:tcPr>
          <w:tcW w:w="2395" w:type="pct"/>
        </w:tcPr>
        <w:p w14:paraId="3C76AE93" w14:textId="77777777" w:rsidR="00137D90" w:rsidRDefault="00137D90" w:rsidP="009C1E9A">
          <w:pPr>
            <w:pStyle w:val="Footer"/>
            <w:tabs>
              <w:tab w:val="clear" w:pos="8640"/>
              <w:tab w:val="right" w:pos="9360"/>
            </w:tabs>
          </w:pPr>
        </w:p>
        <w:p w14:paraId="30141359" w14:textId="77777777" w:rsidR="001A4310" w:rsidRDefault="001A4310" w:rsidP="009C1E9A">
          <w:pPr>
            <w:pStyle w:val="Footer"/>
            <w:tabs>
              <w:tab w:val="clear" w:pos="8640"/>
              <w:tab w:val="right" w:pos="9360"/>
            </w:tabs>
          </w:pPr>
        </w:p>
        <w:p w14:paraId="0D36FDEC" w14:textId="77777777" w:rsidR="00137D90" w:rsidRDefault="00137D90" w:rsidP="009C1E9A">
          <w:pPr>
            <w:pStyle w:val="Footer"/>
            <w:tabs>
              <w:tab w:val="clear" w:pos="8640"/>
              <w:tab w:val="right" w:pos="9360"/>
            </w:tabs>
          </w:pPr>
        </w:p>
      </w:tc>
      <w:tc>
        <w:tcPr>
          <w:tcW w:w="2453" w:type="pct"/>
        </w:tcPr>
        <w:p w14:paraId="11B8103E" w14:textId="77777777" w:rsidR="00137D90" w:rsidRDefault="00137D90" w:rsidP="009C1E9A">
          <w:pPr>
            <w:pStyle w:val="Footer"/>
            <w:tabs>
              <w:tab w:val="clear" w:pos="8640"/>
              <w:tab w:val="right" w:pos="9360"/>
            </w:tabs>
            <w:jc w:val="right"/>
          </w:pPr>
        </w:p>
      </w:tc>
    </w:tr>
    <w:tr w:rsidR="005E7155" w14:paraId="4C98D74E" w14:textId="77777777" w:rsidTr="009C1E9A">
      <w:trPr>
        <w:cantSplit/>
      </w:trPr>
      <w:tc>
        <w:tcPr>
          <w:tcW w:w="0" w:type="pct"/>
        </w:tcPr>
        <w:p w14:paraId="74297B20" w14:textId="77777777" w:rsidR="00EC379B" w:rsidRDefault="00EC379B" w:rsidP="009C1E9A">
          <w:pPr>
            <w:pStyle w:val="Footer"/>
            <w:tabs>
              <w:tab w:val="clear" w:pos="8640"/>
              <w:tab w:val="right" w:pos="9360"/>
            </w:tabs>
          </w:pPr>
        </w:p>
      </w:tc>
      <w:tc>
        <w:tcPr>
          <w:tcW w:w="2395" w:type="pct"/>
        </w:tcPr>
        <w:p w14:paraId="76656A44" w14:textId="6A240A01" w:rsidR="00EC379B" w:rsidRPr="009C1E9A" w:rsidRDefault="00CD1547" w:rsidP="009C1E9A">
          <w:pPr>
            <w:pStyle w:val="Footer"/>
            <w:tabs>
              <w:tab w:val="clear" w:pos="8640"/>
              <w:tab w:val="right" w:pos="9360"/>
            </w:tabs>
            <w:rPr>
              <w:rFonts w:ascii="Shruti" w:hAnsi="Shruti"/>
              <w:sz w:val="22"/>
            </w:rPr>
          </w:pPr>
          <w:r>
            <w:rPr>
              <w:rFonts w:ascii="Shruti" w:hAnsi="Shruti"/>
              <w:sz w:val="22"/>
            </w:rPr>
            <w:t>89R 24723-D</w:t>
          </w:r>
        </w:p>
      </w:tc>
      <w:tc>
        <w:tcPr>
          <w:tcW w:w="2453" w:type="pct"/>
        </w:tcPr>
        <w:p w14:paraId="2BAAA56B" w14:textId="7200D029" w:rsidR="00EC379B" w:rsidRDefault="00CD1547" w:rsidP="009C1E9A">
          <w:pPr>
            <w:pStyle w:val="Footer"/>
            <w:tabs>
              <w:tab w:val="clear" w:pos="8640"/>
              <w:tab w:val="right" w:pos="9360"/>
            </w:tabs>
            <w:jc w:val="right"/>
          </w:pPr>
          <w:r>
            <w:fldChar w:fldCharType="begin"/>
          </w:r>
          <w:r>
            <w:instrText xml:space="preserve"> DOCPROPERTY  OTID  \* MERGEFORMAT </w:instrText>
          </w:r>
          <w:r>
            <w:fldChar w:fldCharType="separate"/>
          </w:r>
          <w:r w:rsidR="00F93485">
            <w:t>25.106.1105</w:t>
          </w:r>
          <w:r>
            <w:fldChar w:fldCharType="end"/>
          </w:r>
        </w:p>
      </w:tc>
    </w:tr>
    <w:tr w:rsidR="005E7155" w14:paraId="31322802" w14:textId="77777777" w:rsidTr="009C1E9A">
      <w:trPr>
        <w:cantSplit/>
      </w:trPr>
      <w:tc>
        <w:tcPr>
          <w:tcW w:w="0" w:type="pct"/>
        </w:tcPr>
        <w:p w14:paraId="1E88B895" w14:textId="77777777" w:rsidR="00EC379B" w:rsidRDefault="00EC379B" w:rsidP="009C1E9A">
          <w:pPr>
            <w:pStyle w:val="Footer"/>
            <w:tabs>
              <w:tab w:val="clear" w:pos="4320"/>
              <w:tab w:val="clear" w:pos="8640"/>
              <w:tab w:val="left" w:pos="2865"/>
            </w:tabs>
          </w:pPr>
        </w:p>
      </w:tc>
      <w:tc>
        <w:tcPr>
          <w:tcW w:w="2395" w:type="pct"/>
        </w:tcPr>
        <w:p w14:paraId="7E1DFF85" w14:textId="1AE2C375" w:rsidR="00EC379B" w:rsidRPr="009C1E9A" w:rsidRDefault="00CD1547" w:rsidP="009C1E9A">
          <w:pPr>
            <w:pStyle w:val="Footer"/>
            <w:tabs>
              <w:tab w:val="clear" w:pos="4320"/>
              <w:tab w:val="clear" w:pos="8640"/>
              <w:tab w:val="left" w:pos="2865"/>
            </w:tabs>
            <w:rPr>
              <w:rFonts w:ascii="Shruti" w:hAnsi="Shruti"/>
              <w:sz w:val="22"/>
            </w:rPr>
          </w:pPr>
          <w:r>
            <w:rPr>
              <w:rFonts w:ascii="Shruti" w:hAnsi="Shruti"/>
              <w:sz w:val="22"/>
            </w:rPr>
            <w:t>Substitute Document Number: 89R 24198</w:t>
          </w:r>
        </w:p>
      </w:tc>
      <w:tc>
        <w:tcPr>
          <w:tcW w:w="2453" w:type="pct"/>
        </w:tcPr>
        <w:p w14:paraId="5FE097E3" w14:textId="77777777" w:rsidR="00EC379B" w:rsidRDefault="00EC379B" w:rsidP="006D504F">
          <w:pPr>
            <w:pStyle w:val="Footer"/>
            <w:rPr>
              <w:rStyle w:val="PageNumber"/>
            </w:rPr>
          </w:pPr>
        </w:p>
        <w:p w14:paraId="462FC1FF" w14:textId="77777777" w:rsidR="00EC379B" w:rsidRDefault="00EC379B" w:rsidP="009C1E9A">
          <w:pPr>
            <w:pStyle w:val="Footer"/>
            <w:tabs>
              <w:tab w:val="clear" w:pos="8640"/>
              <w:tab w:val="right" w:pos="9360"/>
            </w:tabs>
            <w:jc w:val="right"/>
          </w:pPr>
        </w:p>
      </w:tc>
    </w:tr>
    <w:tr w:rsidR="005E7155" w14:paraId="427A902E" w14:textId="77777777" w:rsidTr="009C1E9A">
      <w:trPr>
        <w:cantSplit/>
        <w:trHeight w:val="323"/>
      </w:trPr>
      <w:tc>
        <w:tcPr>
          <w:tcW w:w="0" w:type="pct"/>
          <w:gridSpan w:val="3"/>
        </w:tcPr>
        <w:p w14:paraId="6C359C6E" w14:textId="77777777" w:rsidR="00EC379B" w:rsidRDefault="00CD154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BF21A5" w14:textId="77777777" w:rsidR="00EC379B" w:rsidRDefault="00EC379B" w:rsidP="009C1E9A">
          <w:pPr>
            <w:pStyle w:val="Footer"/>
            <w:tabs>
              <w:tab w:val="clear" w:pos="8640"/>
              <w:tab w:val="right" w:pos="9360"/>
            </w:tabs>
            <w:jc w:val="center"/>
          </w:pPr>
        </w:p>
      </w:tc>
    </w:tr>
  </w:tbl>
  <w:p w14:paraId="72FA1B5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10B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5F8B" w14:textId="77777777" w:rsidR="00CD1547" w:rsidRDefault="00CD1547">
      <w:r>
        <w:separator/>
      </w:r>
    </w:p>
  </w:footnote>
  <w:footnote w:type="continuationSeparator" w:id="0">
    <w:p w14:paraId="17725FAA" w14:textId="77777777" w:rsidR="00CD1547" w:rsidRDefault="00CD1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036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D16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CDF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80547"/>
    <w:multiLevelType w:val="hybridMultilevel"/>
    <w:tmpl w:val="4B4AC868"/>
    <w:lvl w:ilvl="0" w:tplc="9942FE50">
      <w:start w:val="1"/>
      <w:numFmt w:val="bullet"/>
      <w:lvlText w:val=""/>
      <w:lvlJc w:val="left"/>
      <w:pPr>
        <w:tabs>
          <w:tab w:val="num" w:pos="720"/>
        </w:tabs>
        <w:ind w:left="720" w:hanging="360"/>
      </w:pPr>
      <w:rPr>
        <w:rFonts w:ascii="Symbol" w:hAnsi="Symbol" w:hint="default"/>
      </w:rPr>
    </w:lvl>
    <w:lvl w:ilvl="1" w:tplc="CE38DC38" w:tentative="1">
      <w:start w:val="1"/>
      <w:numFmt w:val="bullet"/>
      <w:lvlText w:val="o"/>
      <w:lvlJc w:val="left"/>
      <w:pPr>
        <w:ind w:left="1440" w:hanging="360"/>
      </w:pPr>
      <w:rPr>
        <w:rFonts w:ascii="Courier New" w:hAnsi="Courier New" w:cs="Courier New" w:hint="default"/>
      </w:rPr>
    </w:lvl>
    <w:lvl w:ilvl="2" w:tplc="05362AAC" w:tentative="1">
      <w:start w:val="1"/>
      <w:numFmt w:val="bullet"/>
      <w:lvlText w:val=""/>
      <w:lvlJc w:val="left"/>
      <w:pPr>
        <w:ind w:left="2160" w:hanging="360"/>
      </w:pPr>
      <w:rPr>
        <w:rFonts w:ascii="Wingdings" w:hAnsi="Wingdings" w:hint="default"/>
      </w:rPr>
    </w:lvl>
    <w:lvl w:ilvl="3" w:tplc="629A330C" w:tentative="1">
      <w:start w:val="1"/>
      <w:numFmt w:val="bullet"/>
      <w:lvlText w:val=""/>
      <w:lvlJc w:val="left"/>
      <w:pPr>
        <w:ind w:left="2880" w:hanging="360"/>
      </w:pPr>
      <w:rPr>
        <w:rFonts w:ascii="Symbol" w:hAnsi="Symbol" w:hint="default"/>
      </w:rPr>
    </w:lvl>
    <w:lvl w:ilvl="4" w:tplc="C016B4BA" w:tentative="1">
      <w:start w:val="1"/>
      <w:numFmt w:val="bullet"/>
      <w:lvlText w:val="o"/>
      <w:lvlJc w:val="left"/>
      <w:pPr>
        <w:ind w:left="3600" w:hanging="360"/>
      </w:pPr>
      <w:rPr>
        <w:rFonts w:ascii="Courier New" w:hAnsi="Courier New" w:cs="Courier New" w:hint="default"/>
      </w:rPr>
    </w:lvl>
    <w:lvl w:ilvl="5" w:tplc="E3225250" w:tentative="1">
      <w:start w:val="1"/>
      <w:numFmt w:val="bullet"/>
      <w:lvlText w:val=""/>
      <w:lvlJc w:val="left"/>
      <w:pPr>
        <w:ind w:left="4320" w:hanging="360"/>
      </w:pPr>
      <w:rPr>
        <w:rFonts w:ascii="Wingdings" w:hAnsi="Wingdings" w:hint="default"/>
      </w:rPr>
    </w:lvl>
    <w:lvl w:ilvl="6" w:tplc="223E2422" w:tentative="1">
      <w:start w:val="1"/>
      <w:numFmt w:val="bullet"/>
      <w:lvlText w:val=""/>
      <w:lvlJc w:val="left"/>
      <w:pPr>
        <w:ind w:left="5040" w:hanging="360"/>
      </w:pPr>
      <w:rPr>
        <w:rFonts w:ascii="Symbol" w:hAnsi="Symbol" w:hint="default"/>
      </w:rPr>
    </w:lvl>
    <w:lvl w:ilvl="7" w:tplc="8006D0A6" w:tentative="1">
      <w:start w:val="1"/>
      <w:numFmt w:val="bullet"/>
      <w:lvlText w:val="o"/>
      <w:lvlJc w:val="left"/>
      <w:pPr>
        <w:ind w:left="5760" w:hanging="360"/>
      </w:pPr>
      <w:rPr>
        <w:rFonts w:ascii="Courier New" w:hAnsi="Courier New" w:cs="Courier New" w:hint="default"/>
      </w:rPr>
    </w:lvl>
    <w:lvl w:ilvl="8" w:tplc="09902EEA" w:tentative="1">
      <w:start w:val="1"/>
      <w:numFmt w:val="bullet"/>
      <w:lvlText w:val=""/>
      <w:lvlJc w:val="left"/>
      <w:pPr>
        <w:ind w:left="6480" w:hanging="360"/>
      </w:pPr>
      <w:rPr>
        <w:rFonts w:ascii="Wingdings" w:hAnsi="Wingdings" w:hint="default"/>
      </w:rPr>
    </w:lvl>
  </w:abstractNum>
  <w:abstractNum w:abstractNumId="1" w15:restartNumberingAfterBreak="0">
    <w:nsid w:val="45A16B72"/>
    <w:multiLevelType w:val="hybridMultilevel"/>
    <w:tmpl w:val="8AC66C82"/>
    <w:lvl w:ilvl="0" w:tplc="421C82C4">
      <w:start w:val="1"/>
      <w:numFmt w:val="bullet"/>
      <w:lvlText w:val=""/>
      <w:lvlJc w:val="left"/>
      <w:pPr>
        <w:tabs>
          <w:tab w:val="num" w:pos="720"/>
        </w:tabs>
        <w:ind w:left="720" w:hanging="360"/>
      </w:pPr>
      <w:rPr>
        <w:rFonts w:ascii="Symbol" w:hAnsi="Symbol" w:hint="default"/>
      </w:rPr>
    </w:lvl>
    <w:lvl w:ilvl="1" w:tplc="349A44A6" w:tentative="1">
      <w:start w:val="1"/>
      <w:numFmt w:val="bullet"/>
      <w:lvlText w:val="o"/>
      <w:lvlJc w:val="left"/>
      <w:pPr>
        <w:ind w:left="1440" w:hanging="360"/>
      </w:pPr>
      <w:rPr>
        <w:rFonts w:ascii="Courier New" w:hAnsi="Courier New" w:cs="Courier New" w:hint="default"/>
      </w:rPr>
    </w:lvl>
    <w:lvl w:ilvl="2" w:tplc="E52ED846" w:tentative="1">
      <w:start w:val="1"/>
      <w:numFmt w:val="bullet"/>
      <w:lvlText w:val=""/>
      <w:lvlJc w:val="left"/>
      <w:pPr>
        <w:ind w:left="2160" w:hanging="360"/>
      </w:pPr>
      <w:rPr>
        <w:rFonts w:ascii="Wingdings" w:hAnsi="Wingdings" w:hint="default"/>
      </w:rPr>
    </w:lvl>
    <w:lvl w:ilvl="3" w:tplc="AF42EEA6" w:tentative="1">
      <w:start w:val="1"/>
      <w:numFmt w:val="bullet"/>
      <w:lvlText w:val=""/>
      <w:lvlJc w:val="left"/>
      <w:pPr>
        <w:ind w:left="2880" w:hanging="360"/>
      </w:pPr>
      <w:rPr>
        <w:rFonts w:ascii="Symbol" w:hAnsi="Symbol" w:hint="default"/>
      </w:rPr>
    </w:lvl>
    <w:lvl w:ilvl="4" w:tplc="E32A88C4" w:tentative="1">
      <w:start w:val="1"/>
      <w:numFmt w:val="bullet"/>
      <w:lvlText w:val="o"/>
      <w:lvlJc w:val="left"/>
      <w:pPr>
        <w:ind w:left="3600" w:hanging="360"/>
      </w:pPr>
      <w:rPr>
        <w:rFonts w:ascii="Courier New" w:hAnsi="Courier New" w:cs="Courier New" w:hint="default"/>
      </w:rPr>
    </w:lvl>
    <w:lvl w:ilvl="5" w:tplc="61F207B2" w:tentative="1">
      <w:start w:val="1"/>
      <w:numFmt w:val="bullet"/>
      <w:lvlText w:val=""/>
      <w:lvlJc w:val="left"/>
      <w:pPr>
        <w:ind w:left="4320" w:hanging="360"/>
      </w:pPr>
      <w:rPr>
        <w:rFonts w:ascii="Wingdings" w:hAnsi="Wingdings" w:hint="default"/>
      </w:rPr>
    </w:lvl>
    <w:lvl w:ilvl="6" w:tplc="BC7C92EA" w:tentative="1">
      <w:start w:val="1"/>
      <w:numFmt w:val="bullet"/>
      <w:lvlText w:val=""/>
      <w:lvlJc w:val="left"/>
      <w:pPr>
        <w:ind w:left="5040" w:hanging="360"/>
      </w:pPr>
      <w:rPr>
        <w:rFonts w:ascii="Symbol" w:hAnsi="Symbol" w:hint="default"/>
      </w:rPr>
    </w:lvl>
    <w:lvl w:ilvl="7" w:tplc="99FA7250" w:tentative="1">
      <w:start w:val="1"/>
      <w:numFmt w:val="bullet"/>
      <w:lvlText w:val="o"/>
      <w:lvlJc w:val="left"/>
      <w:pPr>
        <w:ind w:left="5760" w:hanging="360"/>
      </w:pPr>
      <w:rPr>
        <w:rFonts w:ascii="Courier New" w:hAnsi="Courier New" w:cs="Courier New" w:hint="default"/>
      </w:rPr>
    </w:lvl>
    <w:lvl w:ilvl="8" w:tplc="F69A1448" w:tentative="1">
      <w:start w:val="1"/>
      <w:numFmt w:val="bullet"/>
      <w:lvlText w:val=""/>
      <w:lvlJc w:val="left"/>
      <w:pPr>
        <w:ind w:left="6480" w:hanging="360"/>
      </w:pPr>
      <w:rPr>
        <w:rFonts w:ascii="Wingdings" w:hAnsi="Wingdings" w:hint="default"/>
      </w:rPr>
    </w:lvl>
  </w:abstractNum>
  <w:num w:numId="1" w16cid:durableId="1917740567">
    <w:abstractNumId w:val="0"/>
  </w:num>
  <w:num w:numId="2" w16cid:durableId="189715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4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5AB"/>
    <w:rsid w:val="00043B84"/>
    <w:rsid w:val="0004512B"/>
    <w:rsid w:val="000463F0"/>
    <w:rsid w:val="00046BDA"/>
    <w:rsid w:val="0004762E"/>
    <w:rsid w:val="000532BD"/>
    <w:rsid w:val="000555E0"/>
    <w:rsid w:val="00055C12"/>
    <w:rsid w:val="000608B0"/>
    <w:rsid w:val="0006104C"/>
    <w:rsid w:val="00064BF2"/>
    <w:rsid w:val="000667BA"/>
    <w:rsid w:val="0006768D"/>
    <w:rsid w:val="000676A7"/>
    <w:rsid w:val="00073914"/>
    <w:rsid w:val="00074236"/>
    <w:rsid w:val="000746BD"/>
    <w:rsid w:val="00076D7D"/>
    <w:rsid w:val="00080D95"/>
    <w:rsid w:val="00090E6B"/>
    <w:rsid w:val="00091B2C"/>
    <w:rsid w:val="0009223C"/>
    <w:rsid w:val="00092ABC"/>
    <w:rsid w:val="00097AAF"/>
    <w:rsid w:val="00097D13"/>
    <w:rsid w:val="000A4893"/>
    <w:rsid w:val="000A54E0"/>
    <w:rsid w:val="000A72C4"/>
    <w:rsid w:val="000B0F30"/>
    <w:rsid w:val="000B1486"/>
    <w:rsid w:val="000B3E61"/>
    <w:rsid w:val="000B54AF"/>
    <w:rsid w:val="000B6090"/>
    <w:rsid w:val="000B6FEE"/>
    <w:rsid w:val="000C08F5"/>
    <w:rsid w:val="000C12C4"/>
    <w:rsid w:val="000C49DA"/>
    <w:rsid w:val="000C4B3D"/>
    <w:rsid w:val="000C57CE"/>
    <w:rsid w:val="000C5BD3"/>
    <w:rsid w:val="000C6DC1"/>
    <w:rsid w:val="000C6E20"/>
    <w:rsid w:val="000C76D7"/>
    <w:rsid w:val="000C7F1D"/>
    <w:rsid w:val="000D040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212B"/>
    <w:rsid w:val="0012371B"/>
    <w:rsid w:val="001245C8"/>
    <w:rsid w:val="00124653"/>
    <w:rsid w:val="001247C5"/>
    <w:rsid w:val="00127893"/>
    <w:rsid w:val="001312BB"/>
    <w:rsid w:val="00137D90"/>
    <w:rsid w:val="00141FB6"/>
    <w:rsid w:val="00142F8E"/>
    <w:rsid w:val="00143C8B"/>
    <w:rsid w:val="00145C4A"/>
    <w:rsid w:val="00147530"/>
    <w:rsid w:val="0015331F"/>
    <w:rsid w:val="00156AB2"/>
    <w:rsid w:val="00160402"/>
    <w:rsid w:val="00160571"/>
    <w:rsid w:val="00161E93"/>
    <w:rsid w:val="00162C7A"/>
    <w:rsid w:val="00162DAE"/>
    <w:rsid w:val="001639C5"/>
    <w:rsid w:val="00163E45"/>
    <w:rsid w:val="001664C2"/>
    <w:rsid w:val="001715B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262"/>
    <w:rsid w:val="002304DF"/>
    <w:rsid w:val="0023341D"/>
    <w:rsid w:val="002338DA"/>
    <w:rsid w:val="00233D66"/>
    <w:rsid w:val="00233FDB"/>
    <w:rsid w:val="00234F58"/>
    <w:rsid w:val="0023507D"/>
    <w:rsid w:val="0024077A"/>
    <w:rsid w:val="00241EC1"/>
    <w:rsid w:val="002431DA"/>
    <w:rsid w:val="0024691D"/>
    <w:rsid w:val="00247D27"/>
    <w:rsid w:val="00250A50"/>
    <w:rsid w:val="002512C6"/>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4702"/>
    <w:rsid w:val="002E7DF9"/>
    <w:rsid w:val="002F097B"/>
    <w:rsid w:val="002F2147"/>
    <w:rsid w:val="002F3111"/>
    <w:rsid w:val="002F4AEC"/>
    <w:rsid w:val="002F795D"/>
    <w:rsid w:val="002F7C6E"/>
    <w:rsid w:val="00300823"/>
    <w:rsid w:val="00300D7F"/>
    <w:rsid w:val="00301638"/>
    <w:rsid w:val="00303B0C"/>
    <w:rsid w:val="0030459C"/>
    <w:rsid w:val="003050FC"/>
    <w:rsid w:val="00305D0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8AD"/>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3D5A"/>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BEB"/>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77D"/>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0C4"/>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E52"/>
    <w:rsid w:val="005666D5"/>
    <w:rsid w:val="005669A7"/>
    <w:rsid w:val="00571D1A"/>
    <w:rsid w:val="00573401"/>
    <w:rsid w:val="00576714"/>
    <w:rsid w:val="0057685A"/>
    <w:rsid w:val="005779DB"/>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1F43"/>
    <w:rsid w:val="005D4DAE"/>
    <w:rsid w:val="005D767D"/>
    <w:rsid w:val="005D7A30"/>
    <w:rsid w:val="005D7D3B"/>
    <w:rsid w:val="005E147B"/>
    <w:rsid w:val="005E1999"/>
    <w:rsid w:val="005E232C"/>
    <w:rsid w:val="005E2B83"/>
    <w:rsid w:val="005E4AEB"/>
    <w:rsid w:val="005E6B7D"/>
    <w:rsid w:val="005E7155"/>
    <w:rsid w:val="005E738F"/>
    <w:rsid w:val="005E788B"/>
    <w:rsid w:val="005F1519"/>
    <w:rsid w:val="005F4862"/>
    <w:rsid w:val="005F5679"/>
    <w:rsid w:val="005F5FDF"/>
    <w:rsid w:val="005F6960"/>
    <w:rsid w:val="005F7000"/>
    <w:rsid w:val="005F7462"/>
    <w:rsid w:val="005F7954"/>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D21"/>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C1F"/>
    <w:rsid w:val="00755C7B"/>
    <w:rsid w:val="00762E82"/>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71F"/>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602"/>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F53"/>
    <w:rsid w:val="00897E80"/>
    <w:rsid w:val="008A04FA"/>
    <w:rsid w:val="008A3188"/>
    <w:rsid w:val="008A3FDF"/>
    <w:rsid w:val="008A6418"/>
    <w:rsid w:val="008B05D8"/>
    <w:rsid w:val="008B0B3D"/>
    <w:rsid w:val="008B2B1A"/>
    <w:rsid w:val="008B3428"/>
    <w:rsid w:val="008B4A91"/>
    <w:rsid w:val="008B7785"/>
    <w:rsid w:val="008B79F2"/>
    <w:rsid w:val="008C0809"/>
    <w:rsid w:val="008C0AE5"/>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078"/>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820"/>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0F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001"/>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F19"/>
    <w:rsid w:val="00A46902"/>
    <w:rsid w:val="00A50CDB"/>
    <w:rsid w:val="00A51F3E"/>
    <w:rsid w:val="00A5364B"/>
    <w:rsid w:val="00A54142"/>
    <w:rsid w:val="00A5419F"/>
    <w:rsid w:val="00A54C42"/>
    <w:rsid w:val="00A572B1"/>
    <w:rsid w:val="00A577AF"/>
    <w:rsid w:val="00A60177"/>
    <w:rsid w:val="00A61C27"/>
    <w:rsid w:val="00A62638"/>
    <w:rsid w:val="00A6344D"/>
    <w:rsid w:val="00A644B8"/>
    <w:rsid w:val="00A67B76"/>
    <w:rsid w:val="00A70E35"/>
    <w:rsid w:val="00A720DC"/>
    <w:rsid w:val="00A803CF"/>
    <w:rsid w:val="00A8133F"/>
    <w:rsid w:val="00A82CB4"/>
    <w:rsid w:val="00A837A8"/>
    <w:rsid w:val="00A83C36"/>
    <w:rsid w:val="00A932BB"/>
    <w:rsid w:val="00A93579"/>
    <w:rsid w:val="00A93934"/>
    <w:rsid w:val="00A95D51"/>
    <w:rsid w:val="00AA06A9"/>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40F"/>
    <w:rsid w:val="00B1668D"/>
    <w:rsid w:val="00B17981"/>
    <w:rsid w:val="00B20CAD"/>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2AB"/>
    <w:rsid w:val="00B80532"/>
    <w:rsid w:val="00B82039"/>
    <w:rsid w:val="00B82454"/>
    <w:rsid w:val="00B850C6"/>
    <w:rsid w:val="00B85551"/>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783"/>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5E9"/>
    <w:rsid w:val="00C040AB"/>
    <w:rsid w:val="00C0499B"/>
    <w:rsid w:val="00C05406"/>
    <w:rsid w:val="00C05CF0"/>
    <w:rsid w:val="00C119AC"/>
    <w:rsid w:val="00C14EE6"/>
    <w:rsid w:val="00C151DA"/>
    <w:rsid w:val="00C152A1"/>
    <w:rsid w:val="00C15AE3"/>
    <w:rsid w:val="00C16CCB"/>
    <w:rsid w:val="00C2142B"/>
    <w:rsid w:val="00C21A22"/>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712"/>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2E9"/>
    <w:rsid w:val="00CD06CA"/>
    <w:rsid w:val="00CD076A"/>
    <w:rsid w:val="00CD1547"/>
    <w:rsid w:val="00CD180C"/>
    <w:rsid w:val="00CD37DA"/>
    <w:rsid w:val="00CD4F2C"/>
    <w:rsid w:val="00CD731C"/>
    <w:rsid w:val="00CE08E8"/>
    <w:rsid w:val="00CE2133"/>
    <w:rsid w:val="00CE245D"/>
    <w:rsid w:val="00CE300F"/>
    <w:rsid w:val="00CE3582"/>
    <w:rsid w:val="00CE3795"/>
    <w:rsid w:val="00CE3E20"/>
    <w:rsid w:val="00CE48D7"/>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466"/>
    <w:rsid w:val="00DB2602"/>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76B"/>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504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9E7"/>
    <w:rsid w:val="00EC3A99"/>
    <w:rsid w:val="00EC41B1"/>
    <w:rsid w:val="00ED00EF"/>
    <w:rsid w:val="00ED0665"/>
    <w:rsid w:val="00ED12C0"/>
    <w:rsid w:val="00ED19F0"/>
    <w:rsid w:val="00ED2B50"/>
    <w:rsid w:val="00ED3A32"/>
    <w:rsid w:val="00ED3BDE"/>
    <w:rsid w:val="00ED6500"/>
    <w:rsid w:val="00ED68FB"/>
    <w:rsid w:val="00ED783A"/>
    <w:rsid w:val="00EE2E34"/>
    <w:rsid w:val="00EE2E91"/>
    <w:rsid w:val="00EE3370"/>
    <w:rsid w:val="00EE43A2"/>
    <w:rsid w:val="00EE46B7"/>
    <w:rsid w:val="00EE5A49"/>
    <w:rsid w:val="00EE664B"/>
    <w:rsid w:val="00EF10BA"/>
    <w:rsid w:val="00EF1738"/>
    <w:rsid w:val="00EF1F4D"/>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12C"/>
    <w:rsid w:val="00F5605D"/>
    <w:rsid w:val="00F6514B"/>
    <w:rsid w:val="00F6533E"/>
    <w:rsid w:val="00F6587F"/>
    <w:rsid w:val="00F67981"/>
    <w:rsid w:val="00F706CA"/>
    <w:rsid w:val="00F70F8D"/>
    <w:rsid w:val="00F71C5A"/>
    <w:rsid w:val="00F733A4"/>
    <w:rsid w:val="00F7611F"/>
    <w:rsid w:val="00F7758F"/>
    <w:rsid w:val="00F8228A"/>
    <w:rsid w:val="00F82811"/>
    <w:rsid w:val="00F83F8D"/>
    <w:rsid w:val="00F84153"/>
    <w:rsid w:val="00F85661"/>
    <w:rsid w:val="00F93485"/>
    <w:rsid w:val="00F96602"/>
    <w:rsid w:val="00F9735A"/>
    <w:rsid w:val="00FA0C31"/>
    <w:rsid w:val="00FA32FC"/>
    <w:rsid w:val="00FA59FD"/>
    <w:rsid w:val="00FA5D8C"/>
    <w:rsid w:val="00FA6403"/>
    <w:rsid w:val="00FB16CD"/>
    <w:rsid w:val="00FB73AE"/>
    <w:rsid w:val="00FC5388"/>
    <w:rsid w:val="00FC5A67"/>
    <w:rsid w:val="00FC726C"/>
    <w:rsid w:val="00FD1B4B"/>
    <w:rsid w:val="00FD1B94"/>
    <w:rsid w:val="00FE19C5"/>
    <w:rsid w:val="00FE4286"/>
    <w:rsid w:val="00FE48C3"/>
    <w:rsid w:val="00FE48CB"/>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5A2D1C-8C24-4C26-9278-9A767DBC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C5BD3"/>
    <w:rPr>
      <w:sz w:val="16"/>
      <w:szCs w:val="16"/>
    </w:rPr>
  </w:style>
  <w:style w:type="paragraph" w:styleId="CommentText">
    <w:name w:val="annotation text"/>
    <w:basedOn w:val="Normal"/>
    <w:link w:val="CommentTextChar"/>
    <w:unhideWhenUsed/>
    <w:rsid w:val="000C5BD3"/>
    <w:rPr>
      <w:sz w:val="20"/>
      <w:szCs w:val="20"/>
    </w:rPr>
  </w:style>
  <w:style w:type="character" w:customStyle="1" w:styleId="CommentTextChar">
    <w:name w:val="Comment Text Char"/>
    <w:basedOn w:val="DefaultParagraphFont"/>
    <w:link w:val="CommentText"/>
    <w:rsid w:val="000C5BD3"/>
  </w:style>
  <w:style w:type="paragraph" w:styleId="CommentSubject">
    <w:name w:val="annotation subject"/>
    <w:basedOn w:val="CommentText"/>
    <w:next w:val="CommentText"/>
    <w:link w:val="CommentSubjectChar"/>
    <w:semiHidden/>
    <w:unhideWhenUsed/>
    <w:rsid w:val="000C5BD3"/>
    <w:rPr>
      <w:b/>
      <w:bCs/>
    </w:rPr>
  </w:style>
  <w:style w:type="character" w:customStyle="1" w:styleId="CommentSubjectChar">
    <w:name w:val="Comment Subject Char"/>
    <w:basedOn w:val="CommentTextChar"/>
    <w:link w:val="CommentSubject"/>
    <w:semiHidden/>
    <w:rsid w:val="000C5BD3"/>
    <w:rPr>
      <w:b/>
      <w:bCs/>
    </w:rPr>
  </w:style>
  <w:style w:type="paragraph" w:styleId="Revision">
    <w:name w:val="Revision"/>
    <w:hidden/>
    <w:uiPriority w:val="99"/>
    <w:semiHidden/>
    <w:rsid w:val="00BD0783"/>
    <w:rPr>
      <w:sz w:val="24"/>
      <w:szCs w:val="24"/>
    </w:rPr>
  </w:style>
  <w:style w:type="paragraph" w:styleId="ListParagraph">
    <w:name w:val="List Paragraph"/>
    <w:basedOn w:val="Normal"/>
    <w:uiPriority w:val="34"/>
    <w:qFormat/>
    <w:rsid w:val="00412BEB"/>
    <w:pPr>
      <w:ind w:left="720"/>
      <w:contextualSpacing/>
    </w:pPr>
  </w:style>
  <w:style w:type="character" w:styleId="Hyperlink">
    <w:name w:val="Hyperlink"/>
    <w:basedOn w:val="DefaultParagraphFont"/>
    <w:unhideWhenUsed/>
    <w:rsid w:val="00DA7466"/>
    <w:rPr>
      <w:color w:val="0000FF" w:themeColor="hyperlink"/>
      <w:u w:val="single"/>
    </w:rPr>
  </w:style>
  <w:style w:type="character" w:customStyle="1" w:styleId="UnresolvedMention1">
    <w:name w:val="Unresolved Mention1"/>
    <w:basedOn w:val="DefaultParagraphFont"/>
    <w:uiPriority w:val="99"/>
    <w:semiHidden/>
    <w:unhideWhenUsed/>
    <w:rsid w:val="00DA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5276</Characters>
  <Application>Microsoft Office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BA - HB01397 (Committee Report (Substituted))</vt:lpstr>
    </vt:vector>
  </TitlesOfParts>
  <Company>State of Texas</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24723</dc:subject>
  <dc:creator>State of Texas</dc:creator>
  <dc:description>HB 1397 by Harris-(H)Culture, Recreation &amp; Tourism (Substitute Document Number: 89R 24198)</dc:description>
  <cp:lastModifiedBy>Damian Duarte</cp:lastModifiedBy>
  <cp:revision>2</cp:revision>
  <cp:lastPrinted>2003-11-26T17:21:00Z</cp:lastPrinted>
  <dcterms:created xsi:type="dcterms:W3CDTF">2025-04-22T16:48:00Z</dcterms:created>
  <dcterms:modified xsi:type="dcterms:W3CDTF">2025-04-22T16:48:00Z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25.106.1105</vt:lpwstr>
  </property>
</Properties>
</file>