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A82C5C" w14:paraId="2E8519C3" w14:textId="77777777" w:rsidTr="00345119">
        <w:tc>
          <w:tcPr>
            <w:tcW w:w="9576" w:type="dxa"/>
            <w:noWrap/>
          </w:tcPr>
          <w:p w14:paraId="06380784" w14:textId="77777777" w:rsidR="008423E4" w:rsidRPr="0022177D" w:rsidRDefault="004F2519" w:rsidP="00480647">
            <w:pPr>
              <w:pStyle w:val="Heading1"/>
            </w:pPr>
            <w:r w:rsidRPr="00631897">
              <w:t>BILL ANALYSIS</w:t>
            </w:r>
          </w:p>
        </w:tc>
      </w:tr>
    </w:tbl>
    <w:p w14:paraId="433A1A44" w14:textId="77777777" w:rsidR="008423E4" w:rsidRPr="0022177D" w:rsidRDefault="008423E4" w:rsidP="00480647">
      <w:pPr>
        <w:jc w:val="center"/>
      </w:pPr>
    </w:p>
    <w:p w14:paraId="270E8709" w14:textId="77777777" w:rsidR="008423E4" w:rsidRPr="00B31F0E" w:rsidRDefault="008423E4" w:rsidP="00480647"/>
    <w:p w14:paraId="735F200F" w14:textId="77777777" w:rsidR="008423E4" w:rsidRPr="00742794" w:rsidRDefault="008423E4" w:rsidP="00480647">
      <w:pPr>
        <w:tabs>
          <w:tab w:val="right" w:pos="9360"/>
        </w:tabs>
      </w:pPr>
    </w:p>
    <w:tbl>
      <w:tblPr>
        <w:tblW w:w="0" w:type="auto"/>
        <w:tblLayout w:type="fixed"/>
        <w:tblLook w:val="01E0" w:firstRow="1" w:lastRow="1" w:firstColumn="1" w:lastColumn="1" w:noHBand="0" w:noVBand="0"/>
      </w:tblPr>
      <w:tblGrid>
        <w:gridCol w:w="9576"/>
      </w:tblGrid>
      <w:tr w:rsidR="00A82C5C" w14:paraId="630F1EC7" w14:textId="77777777" w:rsidTr="00345119">
        <w:tc>
          <w:tcPr>
            <w:tcW w:w="9576" w:type="dxa"/>
          </w:tcPr>
          <w:p w14:paraId="235DDDB5" w14:textId="7FA39C85" w:rsidR="008423E4" w:rsidRPr="00861995" w:rsidRDefault="004F2519" w:rsidP="00480647">
            <w:pPr>
              <w:jc w:val="right"/>
            </w:pPr>
            <w:r>
              <w:t>H.B. 1400</w:t>
            </w:r>
          </w:p>
        </w:tc>
      </w:tr>
      <w:tr w:rsidR="00A82C5C" w14:paraId="20E8567C" w14:textId="77777777" w:rsidTr="00345119">
        <w:tc>
          <w:tcPr>
            <w:tcW w:w="9576" w:type="dxa"/>
          </w:tcPr>
          <w:p w14:paraId="561C90B5" w14:textId="06723ACD" w:rsidR="008423E4" w:rsidRPr="00861995" w:rsidRDefault="004F2519" w:rsidP="00480647">
            <w:pPr>
              <w:jc w:val="right"/>
            </w:pPr>
            <w:r>
              <w:t xml:space="preserve">By: </w:t>
            </w:r>
            <w:r w:rsidR="00921550">
              <w:t>Harris</w:t>
            </w:r>
          </w:p>
        </w:tc>
      </w:tr>
      <w:tr w:rsidR="00A82C5C" w14:paraId="2242B26A" w14:textId="77777777" w:rsidTr="00345119">
        <w:tc>
          <w:tcPr>
            <w:tcW w:w="9576" w:type="dxa"/>
          </w:tcPr>
          <w:p w14:paraId="0C4A87A6" w14:textId="2EE18FF1" w:rsidR="008423E4" w:rsidRPr="00861995" w:rsidRDefault="004F2519" w:rsidP="00480647">
            <w:pPr>
              <w:jc w:val="right"/>
            </w:pPr>
            <w:r>
              <w:t>Natural Resources</w:t>
            </w:r>
          </w:p>
        </w:tc>
      </w:tr>
      <w:tr w:rsidR="00A82C5C" w14:paraId="26A53F43" w14:textId="77777777" w:rsidTr="00345119">
        <w:tc>
          <w:tcPr>
            <w:tcW w:w="9576" w:type="dxa"/>
          </w:tcPr>
          <w:p w14:paraId="73C34E71" w14:textId="7FAAE993" w:rsidR="008423E4" w:rsidRDefault="004F2519" w:rsidP="00480647">
            <w:pPr>
              <w:jc w:val="right"/>
            </w:pPr>
            <w:r>
              <w:t>Committee Report (Unamended)</w:t>
            </w:r>
          </w:p>
        </w:tc>
      </w:tr>
    </w:tbl>
    <w:p w14:paraId="2C78AAB5" w14:textId="77777777" w:rsidR="008423E4" w:rsidRDefault="008423E4" w:rsidP="00480647">
      <w:pPr>
        <w:tabs>
          <w:tab w:val="right" w:pos="9360"/>
        </w:tabs>
      </w:pPr>
    </w:p>
    <w:p w14:paraId="2C39B287" w14:textId="77777777" w:rsidR="008423E4" w:rsidRDefault="008423E4" w:rsidP="00480647"/>
    <w:p w14:paraId="3C82B78A" w14:textId="77777777" w:rsidR="008423E4" w:rsidRDefault="008423E4" w:rsidP="00480647"/>
    <w:tbl>
      <w:tblPr>
        <w:tblW w:w="0" w:type="auto"/>
        <w:tblCellMar>
          <w:left w:w="115" w:type="dxa"/>
          <w:right w:w="115" w:type="dxa"/>
        </w:tblCellMar>
        <w:tblLook w:val="01E0" w:firstRow="1" w:lastRow="1" w:firstColumn="1" w:lastColumn="1" w:noHBand="0" w:noVBand="0"/>
      </w:tblPr>
      <w:tblGrid>
        <w:gridCol w:w="9360"/>
      </w:tblGrid>
      <w:tr w:rsidR="00A82C5C" w14:paraId="3D545129" w14:textId="77777777" w:rsidTr="00345119">
        <w:tc>
          <w:tcPr>
            <w:tcW w:w="9576" w:type="dxa"/>
          </w:tcPr>
          <w:p w14:paraId="7DC80272" w14:textId="77777777" w:rsidR="008423E4" w:rsidRPr="00A8133F" w:rsidRDefault="004F2519" w:rsidP="00480647">
            <w:pPr>
              <w:rPr>
                <w:b/>
              </w:rPr>
            </w:pPr>
            <w:r w:rsidRPr="009C1E9A">
              <w:rPr>
                <w:b/>
                <w:u w:val="single"/>
              </w:rPr>
              <w:t>BACKGROUND AND PURPOSE</w:t>
            </w:r>
            <w:r>
              <w:rPr>
                <w:b/>
              </w:rPr>
              <w:t xml:space="preserve"> </w:t>
            </w:r>
          </w:p>
          <w:p w14:paraId="7D12BD08" w14:textId="77777777" w:rsidR="008423E4" w:rsidRDefault="008423E4" w:rsidP="00480647"/>
          <w:p w14:paraId="52EAD238" w14:textId="5D5F745D" w:rsidR="008423E4" w:rsidRDefault="004F2519" w:rsidP="00480647">
            <w:pPr>
              <w:pStyle w:val="Header"/>
              <w:tabs>
                <w:tab w:val="clear" w:pos="4320"/>
                <w:tab w:val="clear" w:pos="8640"/>
              </w:tabs>
              <w:jc w:val="both"/>
            </w:pPr>
            <w:r>
              <w:t xml:space="preserve">As </w:t>
            </w:r>
            <w:r w:rsidR="00A05001">
              <w:t>the state's</w:t>
            </w:r>
            <w:r>
              <w:t xml:space="preserve"> population continues to grow and our water demands increase, accurate groundwater science </w:t>
            </w:r>
            <w:r w:rsidR="00A05001">
              <w:t>will be</w:t>
            </w:r>
            <w:r>
              <w:t xml:space="preserve"> critical to ensuring robust water planning and management in Texas. </w:t>
            </w:r>
            <w:r w:rsidR="00A05001">
              <w:t>T</w:t>
            </w:r>
            <w:r>
              <w:t xml:space="preserve">he Texas Water Development Board (TWDB) and </w:t>
            </w:r>
            <w:r w:rsidR="00A05001">
              <w:t>g</w:t>
            </w:r>
            <w:r>
              <w:t xml:space="preserve">roundwater </w:t>
            </w:r>
            <w:r w:rsidR="00E81202">
              <w:t>c</w:t>
            </w:r>
            <w:r>
              <w:t xml:space="preserve">onservation </w:t>
            </w:r>
            <w:r w:rsidR="00A05001">
              <w:t>d</w:t>
            </w:r>
            <w:r>
              <w:t>istricts (GCDs) have important, statutorily mandated roles relat</w:t>
            </w:r>
            <w:r w:rsidR="00A05001">
              <w:t>ing</w:t>
            </w:r>
            <w:r>
              <w:t xml:space="preserve"> to the determination of groundwater availability for water planning in Texas. In addition, GCDs must utilize the best available science in both groundwater planning and management decisions. Consistent, rel</w:t>
            </w:r>
            <w:r>
              <w:t xml:space="preserve">iable funding for groundwater data and modeling both at the TWDB and at the local GCD level is essential. </w:t>
            </w:r>
            <w:r w:rsidR="00974C4E">
              <w:t>The author has informed the committee that, w</w:t>
            </w:r>
            <w:r w:rsidR="00E81202">
              <w:t xml:space="preserve">hile </w:t>
            </w:r>
            <w:r>
              <w:t xml:space="preserve">GCDs </w:t>
            </w:r>
            <w:r w:rsidR="00F33019">
              <w:t xml:space="preserve">may be the </w:t>
            </w:r>
            <w:r>
              <w:t>best suited to collect groundwater data</w:t>
            </w:r>
            <w:r w:rsidR="00E81202">
              <w:t>,</w:t>
            </w:r>
            <w:r>
              <w:t xml:space="preserve"> undertake research and science at the local scale</w:t>
            </w:r>
            <w:r w:rsidR="00E81202">
              <w:t>,</w:t>
            </w:r>
            <w:r>
              <w:t xml:space="preserve"> and develop localized models, there is </w:t>
            </w:r>
            <w:r w:rsidR="00F33019">
              <w:t xml:space="preserve">insufficient </w:t>
            </w:r>
            <w:r>
              <w:t>state funding available to GCDs for this type of science.</w:t>
            </w:r>
            <w:r w:rsidR="009A7842">
              <w:t xml:space="preserve"> H.B. 1400 seeks to address this issue by </w:t>
            </w:r>
            <w:r w:rsidR="009A7842" w:rsidRPr="009A7842">
              <w:t>establish</w:t>
            </w:r>
            <w:r w:rsidR="009A7842">
              <w:t>ing</w:t>
            </w:r>
            <w:r w:rsidR="009A7842" w:rsidRPr="009A7842">
              <w:t xml:space="preserve"> the groundwater science, research, and innovation fund</w:t>
            </w:r>
            <w:r w:rsidR="009A7842">
              <w:t xml:space="preserve"> </w:t>
            </w:r>
            <w:r w:rsidR="009A7842" w:rsidRPr="009A7842">
              <w:t>to be administered by the TWDB</w:t>
            </w:r>
            <w:r w:rsidR="00140BF5">
              <w:t xml:space="preserve"> </w:t>
            </w:r>
            <w:r w:rsidR="00140BF5" w:rsidRPr="00140BF5">
              <w:t>to provid</w:t>
            </w:r>
            <w:r w:rsidR="00140BF5">
              <w:t>e</w:t>
            </w:r>
            <w:r w:rsidR="00140BF5" w:rsidRPr="00140BF5">
              <w:t xml:space="preserve"> financial assistance to </w:t>
            </w:r>
            <w:r w:rsidR="00F33019">
              <w:t>fund</w:t>
            </w:r>
            <w:r w:rsidR="00140BF5" w:rsidRPr="00140BF5">
              <w:t xml:space="preserve"> applicable </w:t>
            </w:r>
            <w:r w:rsidR="00140BF5">
              <w:t>GCD</w:t>
            </w:r>
            <w:r w:rsidR="00140BF5" w:rsidRPr="00140BF5">
              <w:t xml:space="preserve"> programs and projects that will further groundwater science, research, and innovation in Texas</w:t>
            </w:r>
            <w:r w:rsidR="00140BF5">
              <w:t>.</w:t>
            </w:r>
          </w:p>
          <w:p w14:paraId="158F80FE" w14:textId="77777777" w:rsidR="008423E4" w:rsidRPr="00E26B13" w:rsidRDefault="008423E4" w:rsidP="00480647">
            <w:pPr>
              <w:rPr>
                <w:b/>
              </w:rPr>
            </w:pPr>
          </w:p>
        </w:tc>
      </w:tr>
      <w:tr w:rsidR="00A82C5C" w14:paraId="72207601" w14:textId="77777777" w:rsidTr="00345119">
        <w:tc>
          <w:tcPr>
            <w:tcW w:w="9576" w:type="dxa"/>
          </w:tcPr>
          <w:p w14:paraId="66BA7745" w14:textId="77777777" w:rsidR="0017725B" w:rsidRDefault="004F2519" w:rsidP="00480647">
            <w:pPr>
              <w:rPr>
                <w:b/>
                <w:u w:val="single"/>
              </w:rPr>
            </w:pPr>
            <w:r>
              <w:rPr>
                <w:b/>
                <w:u w:val="single"/>
              </w:rPr>
              <w:t>CRIMINAL JUSTICE IMPACT</w:t>
            </w:r>
          </w:p>
          <w:p w14:paraId="1A7E890E" w14:textId="77777777" w:rsidR="0017725B" w:rsidRDefault="0017725B" w:rsidP="00480647">
            <w:pPr>
              <w:rPr>
                <w:b/>
                <w:u w:val="single"/>
              </w:rPr>
            </w:pPr>
          </w:p>
          <w:p w14:paraId="5FD1BA08" w14:textId="0BDAAD49" w:rsidR="00102D88" w:rsidRPr="00102D88" w:rsidRDefault="004F2519" w:rsidP="00480647">
            <w:pPr>
              <w:jc w:val="both"/>
            </w:pPr>
            <w:r>
              <w:t xml:space="preserve">It is the committee's opinion that this bill does not expressly create a </w:t>
            </w:r>
            <w:r>
              <w:t>criminal offense, increase the punishment for an existing criminal offense or category of offenses, or change the eligibility of a person for community supervision, parole, or mandatory supervision.</w:t>
            </w:r>
          </w:p>
          <w:p w14:paraId="13D87580" w14:textId="77777777" w:rsidR="0017725B" w:rsidRPr="0017725B" w:rsidRDefault="0017725B" w:rsidP="00480647">
            <w:pPr>
              <w:rPr>
                <w:b/>
                <w:u w:val="single"/>
              </w:rPr>
            </w:pPr>
          </w:p>
        </w:tc>
      </w:tr>
      <w:tr w:rsidR="00A82C5C" w14:paraId="636F5080" w14:textId="77777777" w:rsidTr="00345119">
        <w:tc>
          <w:tcPr>
            <w:tcW w:w="9576" w:type="dxa"/>
          </w:tcPr>
          <w:p w14:paraId="625C01A4" w14:textId="77777777" w:rsidR="008423E4" w:rsidRPr="00A8133F" w:rsidRDefault="004F2519" w:rsidP="00480647">
            <w:pPr>
              <w:rPr>
                <w:b/>
              </w:rPr>
            </w:pPr>
            <w:r w:rsidRPr="009C1E9A">
              <w:rPr>
                <w:b/>
                <w:u w:val="single"/>
              </w:rPr>
              <w:t>RULEMAKING AUTHORITY</w:t>
            </w:r>
            <w:r>
              <w:rPr>
                <w:b/>
              </w:rPr>
              <w:t xml:space="preserve"> </w:t>
            </w:r>
          </w:p>
          <w:p w14:paraId="7EB7E563" w14:textId="77777777" w:rsidR="008423E4" w:rsidRDefault="008423E4" w:rsidP="00480647"/>
          <w:p w14:paraId="610E0C7C" w14:textId="5E6F49F2" w:rsidR="00102D88" w:rsidRDefault="004F2519" w:rsidP="00480647">
            <w:pPr>
              <w:pStyle w:val="Header"/>
              <w:tabs>
                <w:tab w:val="clear" w:pos="4320"/>
                <w:tab w:val="clear" w:pos="8640"/>
              </w:tabs>
              <w:jc w:val="both"/>
            </w:pPr>
            <w:r>
              <w:t xml:space="preserve">It is the committee's opinion that rulemaking authority is expressly granted to the </w:t>
            </w:r>
            <w:r w:rsidRPr="00102D88">
              <w:t>Texas Water Development Board</w:t>
            </w:r>
            <w:r>
              <w:t xml:space="preserve"> in </w:t>
            </w:r>
            <w:r w:rsidRPr="00102D88">
              <w:t>SECTION 1</w:t>
            </w:r>
            <w:r>
              <w:t xml:space="preserve"> of this bill.</w:t>
            </w:r>
          </w:p>
          <w:p w14:paraId="346D62AD" w14:textId="77777777" w:rsidR="008423E4" w:rsidRPr="00E21FDC" w:rsidRDefault="008423E4" w:rsidP="00480647">
            <w:pPr>
              <w:rPr>
                <w:b/>
              </w:rPr>
            </w:pPr>
          </w:p>
        </w:tc>
      </w:tr>
      <w:tr w:rsidR="00A82C5C" w14:paraId="07D1443B" w14:textId="77777777" w:rsidTr="00345119">
        <w:tc>
          <w:tcPr>
            <w:tcW w:w="9576" w:type="dxa"/>
          </w:tcPr>
          <w:p w14:paraId="40702D8B" w14:textId="77777777" w:rsidR="008423E4" w:rsidRPr="00A8133F" w:rsidRDefault="004F2519" w:rsidP="00480647">
            <w:pPr>
              <w:rPr>
                <w:b/>
              </w:rPr>
            </w:pPr>
            <w:r w:rsidRPr="009C1E9A">
              <w:rPr>
                <w:b/>
                <w:u w:val="single"/>
              </w:rPr>
              <w:t>ANALYSIS</w:t>
            </w:r>
            <w:r>
              <w:rPr>
                <w:b/>
              </w:rPr>
              <w:t xml:space="preserve"> </w:t>
            </w:r>
          </w:p>
          <w:p w14:paraId="2A900EAE" w14:textId="77777777" w:rsidR="008423E4" w:rsidRDefault="008423E4" w:rsidP="00480647"/>
          <w:p w14:paraId="593B905E" w14:textId="036BF72B" w:rsidR="00F9582E" w:rsidRDefault="004F2519" w:rsidP="00480647">
            <w:pPr>
              <w:pStyle w:val="Header"/>
              <w:tabs>
                <w:tab w:val="clear" w:pos="4320"/>
                <w:tab w:val="clear" w:pos="8640"/>
              </w:tabs>
              <w:jc w:val="both"/>
            </w:pPr>
            <w:r>
              <w:t xml:space="preserve">H.B. 1400 amends the </w:t>
            </w:r>
            <w:r w:rsidRPr="00F9582E">
              <w:t>Water Code</w:t>
            </w:r>
            <w:r>
              <w:t xml:space="preserve"> to establish the </w:t>
            </w:r>
            <w:r w:rsidRPr="00F9582E">
              <w:t>groundwater</w:t>
            </w:r>
            <w:r w:rsidRPr="00F9582E">
              <w:t xml:space="preserve"> science, research, and innovation fund </w:t>
            </w:r>
            <w:r>
              <w:t>a</w:t>
            </w:r>
            <w:r w:rsidRPr="00F9582E">
              <w:t>s a special fund in the state treasury to be administered by the Texas Water Development Board</w:t>
            </w:r>
            <w:r>
              <w:t xml:space="preserve"> (TWDB)</w:t>
            </w:r>
            <w:r w:rsidRPr="00F9582E">
              <w:t xml:space="preserve"> under th</w:t>
            </w:r>
            <w:r>
              <w:t>e bill's provisions</w:t>
            </w:r>
            <w:r w:rsidRPr="00F9582E">
              <w:t xml:space="preserve"> and rules adopted by the </w:t>
            </w:r>
            <w:r>
              <w:t>TWDB</w:t>
            </w:r>
            <w:r w:rsidRPr="00F9582E">
              <w:t xml:space="preserve"> under </w:t>
            </w:r>
            <w:r>
              <w:t>those provisions</w:t>
            </w:r>
            <w:r w:rsidRPr="00F9582E">
              <w:t>.</w:t>
            </w:r>
            <w:r w:rsidR="0071787E">
              <w:t xml:space="preserve"> </w:t>
            </w:r>
            <w:r>
              <w:t xml:space="preserve">The bill </w:t>
            </w:r>
            <w:r w:rsidR="003069F6">
              <w:t xml:space="preserve">restricts the use of the fund by </w:t>
            </w:r>
            <w:r>
              <w:t>the TWDB to provid</w:t>
            </w:r>
            <w:r w:rsidR="003069F6">
              <w:t>ing</w:t>
            </w:r>
            <w:r>
              <w:t xml:space="preserve"> financial assistance in the form of grants to finance</w:t>
            </w:r>
            <w:r w:rsidR="0055790E">
              <w:t xml:space="preserve"> </w:t>
            </w:r>
            <w:r w:rsidR="0055790E" w:rsidRPr="00140BF5">
              <w:t>applicable</w:t>
            </w:r>
            <w:r w:rsidRPr="00140BF5">
              <w:t xml:space="preserve"> </w:t>
            </w:r>
            <w:r w:rsidR="0055790E" w:rsidRPr="00140BF5">
              <w:t xml:space="preserve">groundwater conservation </w:t>
            </w:r>
            <w:r w:rsidRPr="00140BF5">
              <w:t>district</w:t>
            </w:r>
            <w:r w:rsidR="00140BF5" w:rsidRPr="00460B56">
              <w:t xml:space="preserve"> (GCD)</w:t>
            </w:r>
            <w:r w:rsidRPr="00140BF5">
              <w:t xml:space="preserve"> programs and projects that will further groundwater science</w:t>
            </w:r>
            <w:r>
              <w:t xml:space="preserve">, research, and innovation in Texas, including local </w:t>
            </w:r>
            <w:r>
              <w:t>research, data, modeling, and innovative programs and projects designed to do the following:</w:t>
            </w:r>
          </w:p>
          <w:p w14:paraId="702FD48C" w14:textId="2C7DE84F" w:rsidR="00F9582E" w:rsidRDefault="004F2519" w:rsidP="00480647">
            <w:pPr>
              <w:pStyle w:val="Header"/>
              <w:numPr>
                <w:ilvl w:val="0"/>
                <w:numId w:val="1"/>
              </w:numPr>
              <w:jc w:val="both"/>
            </w:pPr>
            <w:r>
              <w:t>improve understanding of local groundwater conditions;</w:t>
            </w:r>
          </w:p>
          <w:p w14:paraId="132AF598" w14:textId="3D9077D2" w:rsidR="00F9582E" w:rsidRDefault="004F2519" w:rsidP="00480647">
            <w:pPr>
              <w:pStyle w:val="Header"/>
              <w:numPr>
                <w:ilvl w:val="0"/>
                <w:numId w:val="1"/>
              </w:numPr>
              <w:jc w:val="both"/>
            </w:pPr>
            <w:r>
              <w:t>develop or improve groundwater models relied on for planning and decision-making;</w:t>
            </w:r>
          </w:p>
          <w:p w14:paraId="4AB3A279" w14:textId="44F85FF6" w:rsidR="00F9582E" w:rsidRDefault="004F2519" w:rsidP="00480647">
            <w:pPr>
              <w:pStyle w:val="Header"/>
              <w:numPr>
                <w:ilvl w:val="0"/>
                <w:numId w:val="1"/>
              </w:numPr>
              <w:jc w:val="both"/>
            </w:pPr>
            <w:r>
              <w:t>improve groundwater use efficiency and increase water conservation efforts;</w:t>
            </w:r>
          </w:p>
          <w:p w14:paraId="3224C6DA" w14:textId="08A10612" w:rsidR="00F9582E" w:rsidRDefault="004F2519" w:rsidP="00480647">
            <w:pPr>
              <w:pStyle w:val="Header"/>
              <w:numPr>
                <w:ilvl w:val="0"/>
                <w:numId w:val="1"/>
              </w:numPr>
              <w:jc w:val="both"/>
            </w:pPr>
            <w:r>
              <w:t>increase groundwater recharge; or</w:t>
            </w:r>
          </w:p>
          <w:p w14:paraId="79B3C556" w14:textId="00635905" w:rsidR="00F9582E" w:rsidRDefault="004F2519" w:rsidP="00480647">
            <w:pPr>
              <w:pStyle w:val="Header"/>
              <w:numPr>
                <w:ilvl w:val="0"/>
                <w:numId w:val="1"/>
              </w:numPr>
              <w:jc w:val="both"/>
            </w:pPr>
            <w:r>
              <w:t>protect groundwater quality.</w:t>
            </w:r>
          </w:p>
          <w:p w14:paraId="62A50DF5" w14:textId="3C601431" w:rsidR="00F9582E" w:rsidRDefault="004F2519" w:rsidP="00480647">
            <w:pPr>
              <w:pStyle w:val="Header"/>
              <w:jc w:val="both"/>
            </w:pPr>
            <w:r>
              <w:t>The bill authorizes the fund to be used for any of these purposes under criteria developed by the TWDB</w:t>
            </w:r>
            <w:r w:rsidR="0071787E">
              <w:t xml:space="preserve"> and specifies an </w:t>
            </w:r>
            <w:r w:rsidR="0071787E" w:rsidRPr="00140BF5">
              <w:t xml:space="preserve">applicable </w:t>
            </w:r>
            <w:r w:rsidR="00140BF5" w:rsidRPr="00460B56">
              <w:t>GC</w:t>
            </w:r>
            <w:r w:rsidR="00140BF5">
              <w:t>D</w:t>
            </w:r>
            <w:r w:rsidR="0071787E" w:rsidRPr="00140BF5">
              <w:t xml:space="preserve"> as such a </w:t>
            </w:r>
            <w:r w:rsidR="00140BF5" w:rsidRPr="00460B56">
              <w:t>GCD</w:t>
            </w:r>
            <w:r w:rsidR="0071787E" w:rsidRPr="00140BF5">
              <w:t xml:space="preserve"> created under specified Texas </w:t>
            </w:r>
            <w:r w:rsidR="0071787E" w:rsidRPr="0071787E">
              <w:t>Constitution</w:t>
            </w:r>
            <w:r w:rsidR="0071787E">
              <w:t xml:space="preserve"> provisions</w:t>
            </w:r>
            <w:r w:rsidR="0071787E" w:rsidRPr="0071787E">
              <w:t xml:space="preserve"> that has the authority to regulate the spacing of wells producing from groundwater reservoirs in the </w:t>
            </w:r>
            <w:r w:rsidR="00B72705">
              <w:t>GCD</w:t>
            </w:r>
            <w:r w:rsidR="0071787E" w:rsidRPr="0071787E">
              <w:t xml:space="preserve"> and regulate the production from those wells</w:t>
            </w:r>
            <w:r w:rsidR="0071787E">
              <w:t>.</w:t>
            </w:r>
          </w:p>
          <w:p w14:paraId="5C36ED2D" w14:textId="77777777" w:rsidR="00F9582E" w:rsidRDefault="00F9582E" w:rsidP="00480647">
            <w:pPr>
              <w:pStyle w:val="Header"/>
              <w:tabs>
                <w:tab w:val="clear" w:pos="4320"/>
                <w:tab w:val="clear" w:pos="8640"/>
              </w:tabs>
              <w:jc w:val="both"/>
            </w:pPr>
          </w:p>
          <w:p w14:paraId="38DD0AEF" w14:textId="33014BE9" w:rsidR="004A17EF" w:rsidRDefault="004F2519" w:rsidP="00480647">
            <w:pPr>
              <w:pStyle w:val="Header"/>
              <w:tabs>
                <w:tab w:val="clear" w:pos="4320"/>
                <w:tab w:val="clear" w:pos="8640"/>
              </w:tabs>
              <w:jc w:val="both"/>
            </w:pPr>
            <w:r>
              <w:t>H.B. 1400 establishes that the fund consists of the following:</w:t>
            </w:r>
          </w:p>
          <w:p w14:paraId="0001F2D1" w14:textId="48CDF52A" w:rsidR="004A17EF" w:rsidRDefault="004F2519" w:rsidP="00480647">
            <w:pPr>
              <w:pStyle w:val="Header"/>
              <w:numPr>
                <w:ilvl w:val="0"/>
                <w:numId w:val="2"/>
              </w:numPr>
              <w:jc w:val="both"/>
            </w:pPr>
            <w:r>
              <w:t>money appropriated for transfer or deposit to the fund's credit;</w:t>
            </w:r>
          </w:p>
          <w:p w14:paraId="7ED2F913" w14:textId="617728D1" w:rsidR="004A17EF" w:rsidRDefault="004F2519" w:rsidP="00480647">
            <w:pPr>
              <w:pStyle w:val="Header"/>
              <w:numPr>
                <w:ilvl w:val="0"/>
                <w:numId w:val="2"/>
              </w:numPr>
              <w:jc w:val="both"/>
            </w:pPr>
            <w:r>
              <w:t>money the TWDB transfers to the fund from any available source;</w:t>
            </w:r>
          </w:p>
          <w:p w14:paraId="66ED8EB1" w14:textId="6967641C" w:rsidR="004A17EF" w:rsidRDefault="004F2519" w:rsidP="00480647">
            <w:pPr>
              <w:pStyle w:val="Header"/>
              <w:numPr>
                <w:ilvl w:val="0"/>
                <w:numId w:val="2"/>
              </w:numPr>
              <w:jc w:val="both"/>
            </w:pPr>
            <w:r>
              <w:t>depository interest allocable to the fund and other investment returns on money in the fund;</w:t>
            </w:r>
          </w:p>
          <w:p w14:paraId="7AD1517F" w14:textId="447BBE42" w:rsidR="004A17EF" w:rsidRDefault="004F2519" w:rsidP="00480647">
            <w:pPr>
              <w:pStyle w:val="Header"/>
              <w:numPr>
                <w:ilvl w:val="0"/>
                <w:numId w:val="2"/>
              </w:numPr>
              <w:jc w:val="both"/>
            </w:pPr>
            <w:r>
              <w:t>money from gifts, grants, or donations to the fund; and</w:t>
            </w:r>
          </w:p>
          <w:p w14:paraId="4E493FDE" w14:textId="1269C079" w:rsidR="004A17EF" w:rsidRDefault="004F2519" w:rsidP="00480647">
            <w:pPr>
              <w:pStyle w:val="Header"/>
              <w:numPr>
                <w:ilvl w:val="0"/>
                <w:numId w:val="2"/>
              </w:numPr>
              <w:tabs>
                <w:tab w:val="clear" w:pos="4320"/>
                <w:tab w:val="clear" w:pos="8640"/>
              </w:tabs>
              <w:jc w:val="both"/>
            </w:pPr>
            <w:r>
              <w:t>any other fees or sources of revenue that the legislature may dedicate for deposit to the fund.</w:t>
            </w:r>
          </w:p>
          <w:p w14:paraId="50889711" w14:textId="77777777" w:rsidR="004A17EF" w:rsidRDefault="004A17EF" w:rsidP="00480647">
            <w:pPr>
              <w:pStyle w:val="Header"/>
              <w:tabs>
                <w:tab w:val="clear" w:pos="4320"/>
                <w:tab w:val="clear" w:pos="8640"/>
              </w:tabs>
              <w:jc w:val="both"/>
            </w:pPr>
          </w:p>
          <w:p w14:paraId="6D760C05" w14:textId="4CF36E4C" w:rsidR="004A17EF" w:rsidRDefault="004F2519" w:rsidP="00480647">
            <w:pPr>
              <w:pStyle w:val="Header"/>
              <w:tabs>
                <w:tab w:val="clear" w:pos="4320"/>
                <w:tab w:val="clear" w:pos="8640"/>
              </w:tabs>
              <w:jc w:val="both"/>
            </w:pPr>
            <w:r>
              <w:t>H.B. 1400 requires t</w:t>
            </w:r>
            <w:r w:rsidRPr="004A17EF">
              <w:t xml:space="preserve">he </w:t>
            </w:r>
            <w:r>
              <w:t>TWDB</w:t>
            </w:r>
            <w:r w:rsidRPr="004A17EF">
              <w:t xml:space="preserve"> </w:t>
            </w:r>
            <w:r>
              <w:t>to</w:t>
            </w:r>
            <w:r w:rsidRPr="004A17EF">
              <w:t xml:space="preserve"> adopt rules necessary to administer </w:t>
            </w:r>
            <w:r>
              <w:t>the bill's provisions</w:t>
            </w:r>
            <w:r w:rsidRPr="004A17EF">
              <w:t>, including rules establishing procedures for the application for and award of financial assistance, the distribution of financial assistance, and the administration of financial assistance and the fund.</w:t>
            </w:r>
            <w:r w:rsidR="00EB2577">
              <w:t xml:space="preserve"> </w:t>
            </w:r>
            <w:r w:rsidR="006D2514">
              <w:t>The bill</w:t>
            </w:r>
            <w:r w:rsidR="00EB2577">
              <w:t xml:space="preserve"> authorizes t</w:t>
            </w:r>
            <w:r w:rsidR="00EB2577" w:rsidRPr="00EB2577">
              <w:t xml:space="preserve">he </w:t>
            </w:r>
            <w:r w:rsidR="00EB2577">
              <w:t>TWDB</w:t>
            </w:r>
            <w:r w:rsidR="00EB2577" w:rsidRPr="00EB2577">
              <w:t xml:space="preserve"> by rule </w:t>
            </w:r>
            <w:r w:rsidR="00EB2577">
              <w:t>to</w:t>
            </w:r>
            <w:r w:rsidR="00EB2577" w:rsidRPr="00EB2577">
              <w:t xml:space="preserve"> require a</w:t>
            </w:r>
            <w:r w:rsidR="00EB2577">
              <w:t xml:space="preserve"> </w:t>
            </w:r>
            <w:r w:rsidR="00140BF5" w:rsidRPr="00140BF5">
              <w:t>GCD</w:t>
            </w:r>
            <w:r w:rsidR="00EB2577" w:rsidRPr="00140BF5">
              <w:t xml:space="preserve"> </w:t>
            </w:r>
            <w:r w:rsidR="00EB2577" w:rsidRPr="00EB2577">
              <w:t>that is the recipient of a grant using money from the fund to provide matching funds, which may include direct expenditures or in-kind services related to the program or project, in an amount equal to 25 percent of the amount of the grant.</w:t>
            </w:r>
          </w:p>
          <w:p w14:paraId="068AB865" w14:textId="77777777" w:rsidR="004A17EF" w:rsidRDefault="004A17EF" w:rsidP="00480647">
            <w:pPr>
              <w:pStyle w:val="Header"/>
              <w:tabs>
                <w:tab w:val="clear" w:pos="4320"/>
                <w:tab w:val="clear" w:pos="8640"/>
              </w:tabs>
              <w:jc w:val="both"/>
            </w:pPr>
          </w:p>
          <w:p w14:paraId="4164C1DF" w14:textId="31DB32ED" w:rsidR="00760158" w:rsidRDefault="004F2519" w:rsidP="00480647">
            <w:pPr>
              <w:pStyle w:val="Header"/>
              <w:tabs>
                <w:tab w:val="clear" w:pos="4320"/>
                <w:tab w:val="clear" w:pos="8640"/>
              </w:tabs>
              <w:jc w:val="both"/>
            </w:pPr>
            <w:r>
              <w:t xml:space="preserve">H.B. 1400 requires the TWDB to consider the following factors when evaluating an application for financial assistance from a </w:t>
            </w:r>
            <w:r w:rsidR="00140BF5" w:rsidRPr="00140BF5">
              <w:t>GCD</w:t>
            </w:r>
            <w:r w:rsidRPr="00140BF5">
              <w:t>:</w:t>
            </w:r>
          </w:p>
          <w:p w14:paraId="12CC5873" w14:textId="413D755B" w:rsidR="00760158" w:rsidRDefault="004F2519" w:rsidP="00480647">
            <w:pPr>
              <w:pStyle w:val="Header"/>
              <w:numPr>
                <w:ilvl w:val="0"/>
                <w:numId w:val="3"/>
              </w:numPr>
              <w:jc w:val="both"/>
            </w:pPr>
            <w:r>
              <w:t xml:space="preserve">the expected benefit of the program or project in informing </w:t>
            </w:r>
            <w:r w:rsidRPr="00140BF5">
              <w:t>the</w:t>
            </w:r>
            <w:r w:rsidR="00500A55" w:rsidRPr="00140BF5">
              <w:t xml:space="preserve"> </w:t>
            </w:r>
            <w:r w:rsidR="00140BF5" w:rsidRPr="00140BF5">
              <w:t>GC</w:t>
            </w:r>
            <w:r w:rsidR="00140BF5">
              <w:t>D</w:t>
            </w:r>
            <w:r w:rsidR="00500A55">
              <w:t>'s</w:t>
            </w:r>
            <w:r>
              <w:t xml:space="preserve"> management, planning, or decision-making;</w:t>
            </w:r>
          </w:p>
          <w:p w14:paraId="2CBCE717" w14:textId="64B0CD6A" w:rsidR="00760158" w:rsidRDefault="004F2519" w:rsidP="00480647">
            <w:pPr>
              <w:pStyle w:val="Header"/>
              <w:numPr>
                <w:ilvl w:val="0"/>
                <w:numId w:val="3"/>
              </w:numPr>
              <w:jc w:val="both"/>
            </w:pPr>
            <w:r>
              <w:t>whether the program or project meets any science, data, and modeling objectives of the TWDB;</w:t>
            </w:r>
          </w:p>
          <w:p w14:paraId="48F983CC" w14:textId="1CE5CF4A" w:rsidR="00760158" w:rsidRDefault="004F2519" w:rsidP="00480647">
            <w:pPr>
              <w:pStyle w:val="Header"/>
              <w:numPr>
                <w:ilvl w:val="0"/>
                <w:numId w:val="3"/>
              </w:numPr>
              <w:jc w:val="both"/>
            </w:pPr>
            <w:r>
              <w:t>the extent to which the program's or project's outcome may benefit the state and regional water planning processes; and</w:t>
            </w:r>
          </w:p>
          <w:p w14:paraId="28DCE872" w14:textId="4776B114" w:rsidR="00760158" w:rsidRDefault="004F2519" w:rsidP="00480647">
            <w:pPr>
              <w:pStyle w:val="Header"/>
              <w:numPr>
                <w:ilvl w:val="0"/>
                <w:numId w:val="3"/>
              </w:numPr>
              <w:jc w:val="both"/>
            </w:pPr>
            <w:r>
              <w:t xml:space="preserve">the </w:t>
            </w:r>
            <w:r w:rsidR="00140BF5" w:rsidRPr="00140BF5">
              <w:t>GCD</w:t>
            </w:r>
            <w:r w:rsidRPr="00140BF5">
              <w:t xml:space="preserve">'s need for financial assistance based on the </w:t>
            </w:r>
            <w:r w:rsidR="00140BF5" w:rsidRPr="00140BF5">
              <w:t>GCD</w:t>
            </w:r>
            <w:r w:rsidRPr="00140BF5">
              <w:t xml:space="preserve">'s available revenue or other sources of financial assistance available to the </w:t>
            </w:r>
            <w:r w:rsidR="00140BF5" w:rsidRPr="00140BF5">
              <w:t>GCD</w:t>
            </w:r>
            <w:r w:rsidRPr="00140BF5">
              <w:t>.</w:t>
            </w:r>
          </w:p>
          <w:p w14:paraId="46D5F9AC" w14:textId="2F7415FF" w:rsidR="00EB2577" w:rsidRDefault="004F2519" w:rsidP="00480647">
            <w:pPr>
              <w:pStyle w:val="Header"/>
              <w:jc w:val="both"/>
            </w:pPr>
            <w:r>
              <w:t>The bill authorizes the TWDB by resolution to approve an application if, after considering these factors and other relevant factors, the TWDB finds that the public interest is served by state assistance for the program or project and</w:t>
            </w:r>
            <w:r w:rsidR="00920BBC">
              <w:t>, as applicable,</w:t>
            </w:r>
            <w:r>
              <w:t xml:space="preserve"> the </w:t>
            </w:r>
            <w:r w:rsidR="00B72705">
              <w:t>GCD</w:t>
            </w:r>
            <w:r>
              <w:t xml:space="preserve"> has met the</w:t>
            </w:r>
            <w:r w:rsidR="00920BBC">
              <w:t xml:space="preserve"> </w:t>
            </w:r>
            <w:r>
              <w:t>matching funds requirement</w:t>
            </w:r>
            <w:r w:rsidR="006D2514">
              <w:t xml:space="preserve"> as provided by the bill</w:t>
            </w:r>
            <w:r>
              <w:t>.</w:t>
            </w:r>
            <w:r w:rsidR="00A16488">
              <w:t xml:space="preserve"> </w:t>
            </w:r>
            <w:r>
              <w:t xml:space="preserve">The bill requires the TWDB to ensure the following: </w:t>
            </w:r>
          </w:p>
          <w:p w14:paraId="72ADC458" w14:textId="302A7895" w:rsidR="00760158" w:rsidRDefault="004F2519" w:rsidP="00480647">
            <w:pPr>
              <w:pStyle w:val="Header"/>
              <w:numPr>
                <w:ilvl w:val="0"/>
                <w:numId w:val="4"/>
              </w:numPr>
              <w:jc w:val="both"/>
            </w:pPr>
            <w:r>
              <w:t xml:space="preserve">that a </w:t>
            </w:r>
            <w:r w:rsidR="00140BF5" w:rsidRPr="00140BF5">
              <w:t>GCD</w:t>
            </w:r>
            <w:r w:rsidRPr="00140BF5">
              <w:t xml:space="preserve"> that receives financial assistance for a program or project provides the TWDB with all data, science, and other research findings gathered through the implementation of the program or project for which the </w:t>
            </w:r>
            <w:r w:rsidR="00140BF5" w:rsidRPr="00140BF5">
              <w:t>GCD</w:t>
            </w:r>
            <w:r w:rsidRPr="00140BF5">
              <w:t xml:space="preserve"> received </w:t>
            </w:r>
            <w:r>
              <w:t>financial assistance</w:t>
            </w:r>
            <w:r w:rsidR="00EB2577">
              <w:t>; and</w:t>
            </w:r>
          </w:p>
          <w:p w14:paraId="295F5CBE" w14:textId="6860B688" w:rsidR="00760158" w:rsidRDefault="004F2519" w:rsidP="00480647">
            <w:pPr>
              <w:pStyle w:val="Header"/>
              <w:numPr>
                <w:ilvl w:val="0"/>
                <w:numId w:val="4"/>
              </w:numPr>
              <w:jc w:val="both"/>
            </w:pPr>
            <w:r>
              <w:t xml:space="preserve">that at least 35 percent of the money transferred from the fund is used to fund programs or projects by </w:t>
            </w:r>
            <w:r w:rsidR="00140BF5" w:rsidRPr="00460B56">
              <w:t>GCD</w:t>
            </w:r>
            <w:r w:rsidRPr="00140BF5">
              <w:t xml:space="preserve">s with populations </w:t>
            </w:r>
            <w:r>
              <w:t xml:space="preserve">of not more than 100,000 and, </w:t>
            </w:r>
            <w:r w:rsidRPr="00760158">
              <w:t>as determined at the close of the previous fiscal year</w:t>
            </w:r>
            <w:r>
              <w:t>, annual revenues of not more than $250,000.</w:t>
            </w:r>
          </w:p>
          <w:p w14:paraId="747356AE" w14:textId="77777777" w:rsidR="008423E4" w:rsidRPr="00835628" w:rsidRDefault="008423E4" w:rsidP="00480647">
            <w:pPr>
              <w:rPr>
                <w:b/>
              </w:rPr>
            </w:pPr>
          </w:p>
        </w:tc>
      </w:tr>
      <w:tr w:rsidR="00A82C5C" w14:paraId="55BF4E43" w14:textId="77777777" w:rsidTr="00345119">
        <w:tc>
          <w:tcPr>
            <w:tcW w:w="9576" w:type="dxa"/>
          </w:tcPr>
          <w:p w14:paraId="02333805" w14:textId="77777777" w:rsidR="008423E4" w:rsidRPr="00A8133F" w:rsidRDefault="004F2519" w:rsidP="00480647">
            <w:pPr>
              <w:rPr>
                <w:b/>
              </w:rPr>
            </w:pPr>
            <w:r w:rsidRPr="009C1E9A">
              <w:rPr>
                <w:b/>
                <w:u w:val="single"/>
              </w:rPr>
              <w:t>EFFECTIVE DATE</w:t>
            </w:r>
            <w:r>
              <w:rPr>
                <w:b/>
              </w:rPr>
              <w:t xml:space="preserve"> </w:t>
            </w:r>
          </w:p>
          <w:p w14:paraId="01F8CE38" w14:textId="77777777" w:rsidR="008423E4" w:rsidRDefault="008423E4" w:rsidP="00480647"/>
          <w:p w14:paraId="410BE8E0" w14:textId="66DE0491" w:rsidR="008423E4" w:rsidRPr="003624F2" w:rsidRDefault="004F2519" w:rsidP="00480647">
            <w:pPr>
              <w:pStyle w:val="Header"/>
              <w:tabs>
                <w:tab w:val="clear" w:pos="4320"/>
                <w:tab w:val="clear" w:pos="8640"/>
              </w:tabs>
              <w:jc w:val="both"/>
            </w:pPr>
            <w:r>
              <w:t>September 1, 2025.</w:t>
            </w:r>
          </w:p>
          <w:p w14:paraId="00F1C280" w14:textId="77777777" w:rsidR="008423E4" w:rsidRPr="00233FDB" w:rsidRDefault="008423E4" w:rsidP="00480647">
            <w:pPr>
              <w:rPr>
                <w:b/>
              </w:rPr>
            </w:pPr>
          </w:p>
        </w:tc>
      </w:tr>
    </w:tbl>
    <w:p w14:paraId="272A4F29" w14:textId="77777777" w:rsidR="008423E4" w:rsidRPr="00BE0E75" w:rsidRDefault="008423E4" w:rsidP="00480647">
      <w:pPr>
        <w:jc w:val="both"/>
        <w:rPr>
          <w:rFonts w:ascii="Arial" w:hAnsi="Arial"/>
          <w:sz w:val="16"/>
          <w:szCs w:val="16"/>
        </w:rPr>
      </w:pPr>
    </w:p>
    <w:p w14:paraId="1D2BAFA3" w14:textId="77777777" w:rsidR="004108C3" w:rsidRPr="008423E4" w:rsidRDefault="004108C3" w:rsidP="00480647"/>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3E72D" w14:textId="77777777" w:rsidR="004F2519" w:rsidRDefault="004F2519">
      <w:r>
        <w:separator/>
      </w:r>
    </w:p>
  </w:endnote>
  <w:endnote w:type="continuationSeparator" w:id="0">
    <w:p w14:paraId="3B51892E" w14:textId="77777777" w:rsidR="004F2519" w:rsidRDefault="004F2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AE1E0"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A82C5C" w14:paraId="6E8A88F5" w14:textId="77777777" w:rsidTr="009C1E9A">
      <w:trPr>
        <w:cantSplit/>
      </w:trPr>
      <w:tc>
        <w:tcPr>
          <w:tcW w:w="0" w:type="pct"/>
        </w:tcPr>
        <w:p w14:paraId="3C973C92" w14:textId="77777777" w:rsidR="00137D90" w:rsidRDefault="00137D90" w:rsidP="009C1E9A">
          <w:pPr>
            <w:pStyle w:val="Footer"/>
            <w:tabs>
              <w:tab w:val="clear" w:pos="8640"/>
              <w:tab w:val="right" w:pos="9360"/>
            </w:tabs>
          </w:pPr>
        </w:p>
      </w:tc>
      <w:tc>
        <w:tcPr>
          <w:tcW w:w="2395" w:type="pct"/>
        </w:tcPr>
        <w:p w14:paraId="10FB77F8" w14:textId="77777777" w:rsidR="00137D90" w:rsidRDefault="00137D90" w:rsidP="009C1E9A">
          <w:pPr>
            <w:pStyle w:val="Footer"/>
            <w:tabs>
              <w:tab w:val="clear" w:pos="8640"/>
              <w:tab w:val="right" w:pos="9360"/>
            </w:tabs>
          </w:pPr>
        </w:p>
        <w:p w14:paraId="1A363126" w14:textId="77777777" w:rsidR="001A4310" w:rsidRDefault="001A4310" w:rsidP="009C1E9A">
          <w:pPr>
            <w:pStyle w:val="Footer"/>
            <w:tabs>
              <w:tab w:val="clear" w:pos="8640"/>
              <w:tab w:val="right" w:pos="9360"/>
            </w:tabs>
          </w:pPr>
        </w:p>
        <w:p w14:paraId="2C08404B" w14:textId="77777777" w:rsidR="00137D90" w:rsidRDefault="00137D90" w:rsidP="009C1E9A">
          <w:pPr>
            <w:pStyle w:val="Footer"/>
            <w:tabs>
              <w:tab w:val="clear" w:pos="8640"/>
              <w:tab w:val="right" w:pos="9360"/>
            </w:tabs>
          </w:pPr>
        </w:p>
      </w:tc>
      <w:tc>
        <w:tcPr>
          <w:tcW w:w="2453" w:type="pct"/>
        </w:tcPr>
        <w:p w14:paraId="53974DA5" w14:textId="77777777" w:rsidR="00137D90" w:rsidRDefault="00137D90" w:rsidP="009C1E9A">
          <w:pPr>
            <w:pStyle w:val="Footer"/>
            <w:tabs>
              <w:tab w:val="clear" w:pos="8640"/>
              <w:tab w:val="right" w:pos="9360"/>
            </w:tabs>
            <w:jc w:val="right"/>
          </w:pPr>
        </w:p>
      </w:tc>
    </w:tr>
    <w:tr w:rsidR="00A82C5C" w14:paraId="7751380C" w14:textId="77777777" w:rsidTr="009C1E9A">
      <w:trPr>
        <w:cantSplit/>
      </w:trPr>
      <w:tc>
        <w:tcPr>
          <w:tcW w:w="0" w:type="pct"/>
        </w:tcPr>
        <w:p w14:paraId="53B50CEC" w14:textId="77777777" w:rsidR="00EC379B" w:rsidRDefault="00EC379B" w:rsidP="009C1E9A">
          <w:pPr>
            <w:pStyle w:val="Footer"/>
            <w:tabs>
              <w:tab w:val="clear" w:pos="8640"/>
              <w:tab w:val="right" w:pos="9360"/>
            </w:tabs>
          </w:pPr>
        </w:p>
      </w:tc>
      <w:tc>
        <w:tcPr>
          <w:tcW w:w="2395" w:type="pct"/>
        </w:tcPr>
        <w:p w14:paraId="63BDA58E" w14:textId="677C8A52" w:rsidR="00EC379B" w:rsidRPr="009C1E9A" w:rsidRDefault="004F2519" w:rsidP="009C1E9A">
          <w:pPr>
            <w:pStyle w:val="Footer"/>
            <w:tabs>
              <w:tab w:val="clear" w:pos="8640"/>
              <w:tab w:val="right" w:pos="9360"/>
            </w:tabs>
            <w:rPr>
              <w:rFonts w:ascii="Shruti" w:hAnsi="Shruti"/>
              <w:sz w:val="22"/>
            </w:rPr>
          </w:pPr>
          <w:r>
            <w:rPr>
              <w:rFonts w:ascii="Shruti" w:hAnsi="Shruti"/>
              <w:sz w:val="22"/>
            </w:rPr>
            <w:t>89R 21050-D</w:t>
          </w:r>
        </w:p>
      </w:tc>
      <w:tc>
        <w:tcPr>
          <w:tcW w:w="2453" w:type="pct"/>
        </w:tcPr>
        <w:p w14:paraId="7D852108" w14:textId="251ED634" w:rsidR="00EC379B" w:rsidRDefault="004F2519" w:rsidP="009C1E9A">
          <w:pPr>
            <w:pStyle w:val="Footer"/>
            <w:tabs>
              <w:tab w:val="clear" w:pos="8640"/>
              <w:tab w:val="right" w:pos="9360"/>
            </w:tabs>
            <w:jc w:val="right"/>
          </w:pPr>
          <w:r>
            <w:fldChar w:fldCharType="begin"/>
          </w:r>
          <w:r>
            <w:instrText xml:space="preserve"> DOCPROPERTY  OTID  \* MERGEFORMAT </w:instrText>
          </w:r>
          <w:r>
            <w:fldChar w:fldCharType="separate"/>
          </w:r>
          <w:r w:rsidR="005F6B5B">
            <w:t>25.81.74</w:t>
          </w:r>
          <w:r>
            <w:fldChar w:fldCharType="end"/>
          </w:r>
        </w:p>
      </w:tc>
    </w:tr>
    <w:tr w:rsidR="00A82C5C" w14:paraId="499962E1" w14:textId="77777777" w:rsidTr="009C1E9A">
      <w:trPr>
        <w:cantSplit/>
      </w:trPr>
      <w:tc>
        <w:tcPr>
          <w:tcW w:w="0" w:type="pct"/>
        </w:tcPr>
        <w:p w14:paraId="01E02637" w14:textId="77777777" w:rsidR="00EC379B" w:rsidRDefault="00EC379B" w:rsidP="009C1E9A">
          <w:pPr>
            <w:pStyle w:val="Footer"/>
            <w:tabs>
              <w:tab w:val="clear" w:pos="4320"/>
              <w:tab w:val="clear" w:pos="8640"/>
              <w:tab w:val="left" w:pos="2865"/>
            </w:tabs>
          </w:pPr>
        </w:p>
      </w:tc>
      <w:tc>
        <w:tcPr>
          <w:tcW w:w="2395" w:type="pct"/>
        </w:tcPr>
        <w:p w14:paraId="0F26B738"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5B4F8B67" w14:textId="77777777" w:rsidR="00EC379B" w:rsidRDefault="00EC379B" w:rsidP="006D504F">
          <w:pPr>
            <w:pStyle w:val="Footer"/>
            <w:rPr>
              <w:rStyle w:val="PageNumber"/>
            </w:rPr>
          </w:pPr>
        </w:p>
        <w:p w14:paraId="15A3D7C5" w14:textId="77777777" w:rsidR="00EC379B" w:rsidRDefault="00EC379B" w:rsidP="009C1E9A">
          <w:pPr>
            <w:pStyle w:val="Footer"/>
            <w:tabs>
              <w:tab w:val="clear" w:pos="8640"/>
              <w:tab w:val="right" w:pos="9360"/>
            </w:tabs>
            <w:jc w:val="right"/>
          </w:pPr>
        </w:p>
      </w:tc>
    </w:tr>
    <w:tr w:rsidR="00A82C5C" w14:paraId="65EB7FF6" w14:textId="77777777" w:rsidTr="009C1E9A">
      <w:trPr>
        <w:cantSplit/>
        <w:trHeight w:val="323"/>
      </w:trPr>
      <w:tc>
        <w:tcPr>
          <w:tcW w:w="0" w:type="pct"/>
          <w:gridSpan w:val="3"/>
        </w:tcPr>
        <w:p w14:paraId="1C732210" w14:textId="77777777" w:rsidR="00EC379B" w:rsidRDefault="004F2519"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07EE8EDE" w14:textId="77777777" w:rsidR="00EC379B" w:rsidRDefault="00EC379B" w:rsidP="009C1E9A">
          <w:pPr>
            <w:pStyle w:val="Footer"/>
            <w:tabs>
              <w:tab w:val="clear" w:pos="8640"/>
              <w:tab w:val="right" w:pos="9360"/>
            </w:tabs>
            <w:jc w:val="center"/>
          </w:pPr>
        </w:p>
      </w:tc>
    </w:tr>
  </w:tbl>
  <w:p w14:paraId="1698EBBE"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EA34F"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4009B" w14:textId="77777777" w:rsidR="004F2519" w:rsidRDefault="004F2519">
      <w:r>
        <w:separator/>
      </w:r>
    </w:p>
  </w:footnote>
  <w:footnote w:type="continuationSeparator" w:id="0">
    <w:p w14:paraId="7E7BD781" w14:textId="77777777" w:rsidR="004F2519" w:rsidRDefault="004F2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277C1"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ADE94"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8CBE8"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97CD2"/>
    <w:multiLevelType w:val="hybridMultilevel"/>
    <w:tmpl w:val="9BE4FF5E"/>
    <w:lvl w:ilvl="0" w:tplc="8118E53C">
      <w:start w:val="1"/>
      <w:numFmt w:val="bullet"/>
      <w:lvlText w:val=""/>
      <w:lvlJc w:val="left"/>
      <w:pPr>
        <w:tabs>
          <w:tab w:val="num" w:pos="720"/>
        </w:tabs>
        <w:ind w:left="720" w:hanging="360"/>
      </w:pPr>
      <w:rPr>
        <w:rFonts w:ascii="Symbol" w:hAnsi="Symbol" w:hint="default"/>
      </w:rPr>
    </w:lvl>
    <w:lvl w:ilvl="1" w:tplc="DDB89C70" w:tentative="1">
      <w:start w:val="1"/>
      <w:numFmt w:val="bullet"/>
      <w:lvlText w:val="o"/>
      <w:lvlJc w:val="left"/>
      <w:pPr>
        <w:ind w:left="1440" w:hanging="360"/>
      </w:pPr>
      <w:rPr>
        <w:rFonts w:ascii="Courier New" w:hAnsi="Courier New" w:cs="Courier New" w:hint="default"/>
      </w:rPr>
    </w:lvl>
    <w:lvl w:ilvl="2" w:tplc="EC5C2864" w:tentative="1">
      <w:start w:val="1"/>
      <w:numFmt w:val="bullet"/>
      <w:lvlText w:val=""/>
      <w:lvlJc w:val="left"/>
      <w:pPr>
        <w:ind w:left="2160" w:hanging="360"/>
      </w:pPr>
      <w:rPr>
        <w:rFonts w:ascii="Wingdings" w:hAnsi="Wingdings" w:hint="default"/>
      </w:rPr>
    </w:lvl>
    <w:lvl w:ilvl="3" w:tplc="D7F8E128" w:tentative="1">
      <w:start w:val="1"/>
      <w:numFmt w:val="bullet"/>
      <w:lvlText w:val=""/>
      <w:lvlJc w:val="left"/>
      <w:pPr>
        <w:ind w:left="2880" w:hanging="360"/>
      </w:pPr>
      <w:rPr>
        <w:rFonts w:ascii="Symbol" w:hAnsi="Symbol" w:hint="default"/>
      </w:rPr>
    </w:lvl>
    <w:lvl w:ilvl="4" w:tplc="57BAFB9C" w:tentative="1">
      <w:start w:val="1"/>
      <w:numFmt w:val="bullet"/>
      <w:lvlText w:val="o"/>
      <w:lvlJc w:val="left"/>
      <w:pPr>
        <w:ind w:left="3600" w:hanging="360"/>
      </w:pPr>
      <w:rPr>
        <w:rFonts w:ascii="Courier New" w:hAnsi="Courier New" w:cs="Courier New" w:hint="default"/>
      </w:rPr>
    </w:lvl>
    <w:lvl w:ilvl="5" w:tplc="1BBC78E6" w:tentative="1">
      <w:start w:val="1"/>
      <w:numFmt w:val="bullet"/>
      <w:lvlText w:val=""/>
      <w:lvlJc w:val="left"/>
      <w:pPr>
        <w:ind w:left="4320" w:hanging="360"/>
      </w:pPr>
      <w:rPr>
        <w:rFonts w:ascii="Wingdings" w:hAnsi="Wingdings" w:hint="default"/>
      </w:rPr>
    </w:lvl>
    <w:lvl w:ilvl="6" w:tplc="6C4883F8" w:tentative="1">
      <w:start w:val="1"/>
      <w:numFmt w:val="bullet"/>
      <w:lvlText w:val=""/>
      <w:lvlJc w:val="left"/>
      <w:pPr>
        <w:ind w:left="5040" w:hanging="360"/>
      </w:pPr>
      <w:rPr>
        <w:rFonts w:ascii="Symbol" w:hAnsi="Symbol" w:hint="default"/>
      </w:rPr>
    </w:lvl>
    <w:lvl w:ilvl="7" w:tplc="34DC3D56" w:tentative="1">
      <w:start w:val="1"/>
      <w:numFmt w:val="bullet"/>
      <w:lvlText w:val="o"/>
      <w:lvlJc w:val="left"/>
      <w:pPr>
        <w:ind w:left="5760" w:hanging="360"/>
      </w:pPr>
      <w:rPr>
        <w:rFonts w:ascii="Courier New" w:hAnsi="Courier New" w:cs="Courier New" w:hint="default"/>
      </w:rPr>
    </w:lvl>
    <w:lvl w:ilvl="8" w:tplc="A0E2AC7E" w:tentative="1">
      <w:start w:val="1"/>
      <w:numFmt w:val="bullet"/>
      <w:lvlText w:val=""/>
      <w:lvlJc w:val="left"/>
      <w:pPr>
        <w:ind w:left="6480" w:hanging="360"/>
      </w:pPr>
      <w:rPr>
        <w:rFonts w:ascii="Wingdings" w:hAnsi="Wingdings" w:hint="default"/>
      </w:rPr>
    </w:lvl>
  </w:abstractNum>
  <w:abstractNum w:abstractNumId="1" w15:restartNumberingAfterBreak="0">
    <w:nsid w:val="1DDD6511"/>
    <w:multiLevelType w:val="hybridMultilevel"/>
    <w:tmpl w:val="1ACEAEE8"/>
    <w:lvl w:ilvl="0" w:tplc="258CB038">
      <w:start w:val="1"/>
      <w:numFmt w:val="bullet"/>
      <w:lvlText w:val=""/>
      <w:lvlJc w:val="left"/>
      <w:pPr>
        <w:tabs>
          <w:tab w:val="num" w:pos="720"/>
        </w:tabs>
        <w:ind w:left="720" w:hanging="360"/>
      </w:pPr>
      <w:rPr>
        <w:rFonts w:ascii="Symbol" w:hAnsi="Symbol" w:hint="default"/>
      </w:rPr>
    </w:lvl>
    <w:lvl w:ilvl="1" w:tplc="DD14D976" w:tentative="1">
      <w:start w:val="1"/>
      <w:numFmt w:val="bullet"/>
      <w:lvlText w:val="o"/>
      <w:lvlJc w:val="left"/>
      <w:pPr>
        <w:ind w:left="1440" w:hanging="360"/>
      </w:pPr>
      <w:rPr>
        <w:rFonts w:ascii="Courier New" w:hAnsi="Courier New" w:cs="Courier New" w:hint="default"/>
      </w:rPr>
    </w:lvl>
    <w:lvl w:ilvl="2" w:tplc="16E23BDA" w:tentative="1">
      <w:start w:val="1"/>
      <w:numFmt w:val="bullet"/>
      <w:lvlText w:val=""/>
      <w:lvlJc w:val="left"/>
      <w:pPr>
        <w:ind w:left="2160" w:hanging="360"/>
      </w:pPr>
      <w:rPr>
        <w:rFonts w:ascii="Wingdings" w:hAnsi="Wingdings" w:hint="default"/>
      </w:rPr>
    </w:lvl>
    <w:lvl w:ilvl="3" w:tplc="700C0832" w:tentative="1">
      <w:start w:val="1"/>
      <w:numFmt w:val="bullet"/>
      <w:lvlText w:val=""/>
      <w:lvlJc w:val="left"/>
      <w:pPr>
        <w:ind w:left="2880" w:hanging="360"/>
      </w:pPr>
      <w:rPr>
        <w:rFonts w:ascii="Symbol" w:hAnsi="Symbol" w:hint="default"/>
      </w:rPr>
    </w:lvl>
    <w:lvl w:ilvl="4" w:tplc="B834321E" w:tentative="1">
      <w:start w:val="1"/>
      <w:numFmt w:val="bullet"/>
      <w:lvlText w:val="o"/>
      <w:lvlJc w:val="left"/>
      <w:pPr>
        <w:ind w:left="3600" w:hanging="360"/>
      </w:pPr>
      <w:rPr>
        <w:rFonts w:ascii="Courier New" w:hAnsi="Courier New" w:cs="Courier New" w:hint="default"/>
      </w:rPr>
    </w:lvl>
    <w:lvl w:ilvl="5" w:tplc="F7D2FB22" w:tentative="1">
      <w:start w:val="1"/>
      <w:numFmt w:val="bullet"/>
      <w:lvlText w:val=""/>
      <w:lvlJc w:val="left"/>
      <w:pPr>
        <w:ind w:left="4320" w:hanging="360"/>
      </w:pPr>
      <w:rPr>
        <w:rFonts w:ascii="Wingdings" w:hAnsi="Wingdings" w:hint="default"/>
      </w:rPr>
    </w:lvl>
    <w:lvl w:ilvl="6" w:tplc="EE62C592" w:tentative="1">
      <w:start w:val="1"/>
      <w:numFmt w:val="bullet"/>
      <w:lvlText w:val=""/>
      <w:lvlJc w:val="left"/>
      <w:pPr>
        <w:ind w:left="5040" w:hanging="360"/>
      </w:pPr>
      <w:rPr>
        <w:rFonts w:ascii="Symbol" w:hAnsi="Symbol" w:hint="default"/>
      </w:rPr>
    </w:lvl>
    <w:lvl w:ilvl="7" w:tplc="05AE310C" w:tentative="1">
      <w:start w:val="1"/>
      <w:numFmt w:val="bullet"/>
      <w:lvlText w:val="o"/>
      <w:lvlJc w:val="left"/>
      <w:pPr>
        <w:ind w:left="5760" w:hanging="360"/>
      </w:pPr>
      <w:rPr>
        <w:rFonts w:ascii="Courier New" w:hAnsi="Courier New" w:cs="Courier New" w:hint="default"/>
      </w:rPr>
    </w:lvl>
    <w:lvl w:ilvl="8" w:tplc="1CE62E00" w:tentative="1">
      <w:start w:val="1"/>
      <w:numFmt w:val="bullet"/>
      <w:lvlText w:val=""/>
      <w:lvlJc w:val="left"/>
      <w:pPr>
        <w:ind w:left="6480" w:hanging="360"/>
      </w:pPr>
      <w:rPr>
        <w:rFonts w:ascii="Wingdings" w:hAnsi="Wingdings" w:hint="default"/>
      </w:rPr>
    </w:lvl>
  </w:abstractNum>
  <w:abstractNum w:abstractNumId="2" w15:restartNumberingAfterBreak="0">
    <w:nsid w:val="30585E1C"/>
    <w:multiLevelType w:val="hybridMultilevel"/>
    <w:tmpl w:val="487C0982"/>
    <w:lvl w:ilvl="0" w:tplc="876CDAF4">
      <w:start w:val="1"/>
      <w:numFmt w:val="bullet"/>
      <w:lvlText w:val=""/>
      <w:lvlJc w:val="left"/>
      <w:pPr>
        <w:tabs>
          <w:tab w:val="num" w:pos="720"/>
        </w:tabs>
        <w:ind w:left="720" w:hanging="360"/>
      </w:pPr>
      <w:rPr>
        <w:rFonts w:ascii="Symbol" w:hAnsi="Symbol" w:hint="default"/>
      </w:rPr>
    </w:lvl>
    <w:lvl w:ilvl="1" w:tplc="4A5C2DC2" w:tentative="1">
      <w:start w:val="1"/>
      <w:numFmt w:val="bullet"/>
      <w:lvlText w:val="o"/>
      <w:lvlJc w:val="left"/>
      <w:pPr>
        <w:ind w:left="1440" w:hanging="360"/>
      </w:pPr>
      <w:rPr>
        <w:rFonts w:ascii="Courier New" w:hAnsi="Courier New" w:cs="Courier New" w:hint="default"/>
      </w:rPr>
    </w:lvl>
    <w:lvl w:ilvl="2" w:tplc="C230373A" w:tentative="1">
      <w:start w:val="1"/>
      <w:numFmt w:val="bullet"/>
      <w:lvlText w:val=""/>
      <w:lvlJc w:val="left"/>
      <w:pPr>
        <w:ind w:left="2160" w:hanging="360"/>
      </w:pPr>
      <w:rPr>
        <w:rFonts w:ascii="Wingdings" w:hAnsi="Wingdings" w:hint="default"/>
      </w:rPr>
    </w:lvl>
    <w:lvl w:ilvl="3" w:tplc="08FAA9E2" w:tentative="1">
      <w:start w:val="1"/>
      <w:numFmt w:val="bullet"/>
      <w:lvlText w:val=""/>
      <w:lvlJc w:val="left"/>
      <w:pPr>
        <w:ind w:left="2880" w:hanging="360"/>
      </w:pPr>
      <w:rPr>
        <w:rFonts w:ascii="Symbol" w:hAnsi="Symbol" w:hint="default"/>
      </w:rPr>
    </w:lvl>
    <w:lvl w:ilvl="4" w:tplc="C5BAF6E8" w:tentative="1">
      <w:start w:val="1"/>
      <w:numFmt w:val="bullet"/>
      <w:lvlText w:val="o"/>
      <w:lvlJc w:val="left"/>
      <w:pPr>
        <w:ind w:left="3600" w:hanging="360"/>
      </w:pPr>
      <w:rPr>
        <w:rFonts w:ascii="Courier New" w:hAnsi="Courier New" w:cs="Courier New" w:hint="default"/>
      </w:rPr>
    </w:lvl>
    <w:lvl w:ilvl="5" w:tplc="BCC8D1A0" w:tentative="1">
      <w:start w:val="1"/>
      <w:numFmt w:val="bullet"/>
      <w:lvlText w:val=""/>
      <w:lvlJc w:val="left"/>
      <w:pPr>
        <w:ind w:left="4320" w:hanging="360"/>
      </w:pPr>
      <w:rPr>
        <w:rFonts w:ascii="Wingdings" w:hAnsi="Wingdings" w:hint="default"/>
      </w:rPr>
    </w:lvl>
    <w:lvl w:ilvl="6" w:tplc="7E7E0A98" w:tentative="1">
      <w:start w:val="1"/>
      <w:numFmt w:val="bullet"/>
      <w:lvlText w:val=""/>
      <w:lvlJc w:val="left"/>
      <w:pPr>
        <w:ind w:left="5040" w:hanging="360"/>
      </w:pPr>
      <w:rPr>
        <w:rFonts w:ascii="Symbol" w:hAnsi="Symbol" w:hint="default"/>
      </w:rPr>
    </w:lvl>
    <w:lvl w:ilvl="7" w:tplc="A63CD70E" w:tentative="1">
      <w:start w:val="1"/>
      <w:numFmt w:val="bullet"/>
      <w:lvlText w:val="o"/>
      <w:lvlJc w:val="left"/>
      <w:pPr>
        <w:ind w:left="5760" w:hanging="360"/>
      </w:pPr>
      <w:rPr>
        <w:rFonts w:ascii="Courier New" w:hAnsi="Courier New" w:cs="Courier New" w:hint="default"/>
      </w:rPr>
    </w:lvl>
    <w:lvl w:ilvl="8" w:tplc="BBFC55E0" w:tentative="1">
      <w:start w:val="1"/>
      <w:numFmt w:val="bullet"/>
      <w:lvlText w:val=""/>
      <w:lvlJc w:val="left"/>
      <w:pPr>
        <w:ind w:left="6480" w:hanging="360"/>
      </w:pPr>
      <w:rPr>
        <w:rFonts w:ascii="Wingdings" w:hAnsi="Wingdings" w:hint="default"/>
      </w:rPr>
    </w:lvl>
  </w:abstractNum>
  <w:abstractNum w:abstractNumId="3" w15:restartNumberingAfterBreak="0">
    <w:nsid w:val="578142D6"/>
    <w:multiLevelType w:val="hybridMultilevel"/>
    <w:tmpl w:val="85B4B08C"/>
    <w:lvl w:ilvl="0" w:tplc="9AA07A04">
      <w:start w:val="1"/>
      <w:numFmt w:val="bullet"/>
      <w:lvlText w:val=""/>
      <w:lvlJc w:val="left"/>
      <w:pPr>
        <w:tabs>
          <w:tab w:val="num" w:pos="720"/>
        </w:tabs>
        <w:ind w:left="720" w:hanging="360"/>
      </w:pPr>
      <w:rPr>
        <w:rFonts w:ascii="Symbol" w:hAnsi="Symbol" w:hint="default"/>
      </w:rPr>
    </w:lvl>
    <w:lvl w:ilvl="1" w:tplc="4E128000" w:tentative="1">
      <w:start w:val="1"/>
      <w:numFmt w:val="bullet"/>
      <w:lvlText w:val="o"/>
      <w:lvlJc w:val="left"/>
      <w:pPr>
        <w:ind w:left="1440" w:hanging="360"/>
      </w:pPr>
      <w:rPr>
        <w:rFonts w:ascii="Courier New" w:hAnsi="Courier New" w:cs="Courier New" w:hint="default"/>
      </w:rPr>
    </w:lvl>
    <w:lvl w:ilvl="2" w:tplc="198A2EDE" w:tentative="1">
      <w:start w:val="1"/>
      <w:numFmt w:val="bullet"/>
      <w:lvlText w:val=""/>
      <w:lvlJc w:val="left"/>
      <w:pPr>
        <w:ind w:left="2160" w:hanging="360"/>
      </w:pPr>
      <w:rPr>
        <w:rFonts w:ascii="Wingdings" w:hAnsi="Wingdings" w:hint="default"/>
      </w:rPr>
    </w:lvl>
    <w:lvl w:ilvl="3" w:tplc="5BF05D8A" w:tentative="1">
      <w:start w:val="1"/>
      <w:numFmt w:val="bullet"/>
      <w:lvlText w:val=""/>
      <w:lvlJc w:val="left"/>
      <w:pPr>
        <w:ind w:left="2880" w:hanging="360"/>
      </w:pPr>
      <w:rPr>
        <w:rFonts w:ascii="Symbol" w:hAnsi="Symbol" w:hint="default"/>
      </w:rPr>
    </w:lvl>
    <w:lvl w:ilvl="4" w:tplc="F52A019A" w:tentative="1">
      <w:start w:val="1"/>
      <w:numFmt w:val="bullet"/>
      <w:lvlText w:val="o"/>
      <w:lvlJc w:val="left"/>
      <w:pPr>
        <w:ind w:left="3600" w:hanging="360"/>
      </w:pPr>
      <w:rPr>
        <w:rFonts w:ascii="Courier New" w:hAnsi="Courier New" w:cs="Courier New" w:hint="default"/>
      </w:rPr>
    </w:lvl>
    <w:lvl w:ilvl="5" w:tplc="D7E053F0" w:tentative="1">
      <w:start w:val="1"/>
      <w:numFmt w:val="bullet"/>
      <w:lvlText w:val=""/>
      <w:lvlJc w:val="left"/>
      <w:pPr>
        <w:ind w:left="4320" w:hanging="360"/>
      </w:pPr>
      <w:rPr>
        <w:rFonts w:ascii="Wingdings" w:hAnsi="Wingdings" w:hint="default"/>
      </w:rPr>
    </w:lvl>
    <w:lvl w:ilvl="6" w:tplc="6E5AE770" w:tentative="1">
      <w:start w:val="1"/>
      <w:numFmt w:val="bullet"/>
      <w:lvlText w:val=""/>
      <w:lvlJc w:val="left"/>
      <w:pPr>
        <w:ind w:left="5040" w:hanging="360"/>
      </w:pPr>
      <w:rPr>
        <w:rFonts w:ascii="Symbol" w:hAnsi="Symbol" w:hint="default"/>
      </w:rPr>
    </w:lvl>
    <w:lvl w:ilvl="7" w:tplc="5F6AD9D8" w:tentative="1">
      <w:start w:val="1"/>
      <w:numFmt w:val="bullet"/>
      <w:lvlText w:val="o"/>
      <w:lvlJc w:val="left"/>
      <w:pPr>
        <w:ind w:left="5760" w:hanging="360"/>
      </w:pPr>
      <w:rPr>
        <w:rFonts w:ascii="Courier New" w:hAnsi="Courier New" w:cs="Courier New" w:hint="default"/>
      </w:rPr>
    </w:lvl>
    <w:lvl w:ilvl="8" w:tplc="E66E8EB8" w:tentative="1">
      <w:start w:val="1"/>
      <w:numFmt w:val="bullet"/>
      <w:lvlText w:val=""/>
      <w:lvlJc w:val="left"/>
      <w:pPr>
        <w:ind w:left="6480" w:hanging="360"/>
      </w:pPr>
      <w:rPr>
        <w:rFonts w:ascii="Wingdings" w:hAnsi="Wingdings" w:hint="default"/>
      </w:rPr>
    </w:lvl>
  </w:abstractNum>
  <w:num w:numId="1" w16cid:durableId="815338348">
    <w:abstractNumId w:val="0"/>
  </w:num>
  <w:num w:numId="2" w16cid:durableId="100691011">
    <w:abstractNumId w:val="3"/>
  </w:num>
  <w:num w:numId="3" w16cid:durableId="1472600928">
    <w:abstractNumId w:val="2"/>
  </w:num>
  <w:num w:numId="4" w16cid:durableId="1277567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FF0"/>
    <w:rsid w:val="00000A70"/>
    <w:rsid w:val="00001FF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2AE2"/>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042"/>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D88"/>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0BF5"/>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4D05"/>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069F6"/>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0B4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02EE"/>
    <w:rsid w:val="003712D5"/>
    <w:rsid w:val="003747DF"/>
    <w:rsid w:val="00377E3D"/>
    <w:rsid w:val="003847E8"/>
    <w:rsid w:val="0038731D"/>
    <w:rsid w:val="00387B60"/>
    <w:rsid w:val="00390098"/>
    <w:rsid w:val="00392DA1"/>
    <w:rsid w:val="00393718"/>
    <w:rsid w:val="003A0296"/>
    <w:rsid w:val="003A10BC"/>
    <w:rsid w:val="003A585F"/>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2ECF"/>
    <w:rsid w:val="003E6CB0"/>
    <w:rsid w:val="003F1F5E"/>
    <w:rsid w:val="003F2591"/>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0B56"/>
    <w:rsid w:val="00461B69"/>
    <w:rsid w:val="00462B3D"/>
    <w:rsid w:val="00474927"/>
    <w:rsid w:val="00475913"/>
    <w:rsid w:val="00480080"/>
    <w:rsid w:val="00480647"/>
    <w:rsid w:val="004824A7"/>
    <w:rsid w:val="00483AF0"/>
    <w:rsid w:val="00484167"/>
    <w:rsid w:val="00490743"/>
    <w:rsid w:val="00492211"/>
    <w:rsid w:val="00492325"/>
    <w:rsid w:val="00492A6D"/>
    <w:rsid w:val="00494303"/>
    <w:rsid w:val="0049682B"/>
    <w:rsid w:val="004977A3"/>
    <w:rsid w:val="004A03F7"/>
    <w:rsid w:val="004A081C"/>
    <w:rsid w:val="004A123F"/>
    <w:rsid w:val="004A17E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2BF5"/>
    <w:rsid w:val="004D3F41"/>
    <w:rsid w:val="004D5098"/>
    <w:rsid w:val="004D6497"/>
    <w:rsid w:val="004E0E60"/>
    <w:rsid w:val="004E12A3"/>
    <w:rsid w:val="004E2492"/>
    <w:rsid w:val="004E3096"/>
    <w:rsid w:val="004E3F3C"/>
    <w:rsid w:val="004E47F2"/>
    <w:rsid w:val="004E4E2B"/>
    <w:rsid w:val="004E5D4F"/>
    <w:rsid w:val="004E5DEA"/>
    <w:rsid w:val="004E6639"/>
    <w:rsid w:val="004E6BAE"/>
    <w:rsid w:val="004F2519"/>
    <w:rsid w:val="004F32AD"/>
    <w:rsid w:val="004F57CB"/>
    <w:rsid w:val="004F64F6"/>
    <w:rsid w:val="004F69C0"/>
    <w:rsid w:val="00500121"/>
    <w:rsid w:val="00500A55"/>
    <w:rsid w:val="005017AC"/>
    <w:rsid w:val="00501E8A"/>
    <w:rsid w:val="00505121"/>
    <w:rsid w:val="00505C04"/>
    <w:rsid w:val="00505F1B"/>
    <w:rsid w:val="00506FBC"/>
    <w:rsid w:val="005073E8"/>
    <w:rsid w:val="00510503"/>
    <w:rsid w:val="0051324D"/>
    <w:rsid w:val="00515466"/>
    <w:rsid w:val="005154F7"/>
    <w:rsid w:val="005159DE"/>
    <w:rsid w:val="00524B43"/>
    <w:rsid w:val="00526120"/>
    <w:rsid w:val="005269CE"/>
    <w:rsid w:val="005304B2"/>
    <w:rsid w:val="005336BD"/>
    <w:rsid w:val="00534A49"/>
    <w:rsid w:val="005363BB"/>
    <w:rsid w:val="00541B98"/>
    <w:rsid w:val="00543374"/>
    <w:rsid w:val="00545548"/>
    <w:rsid w:val="00546923"/>
    <w:rsid w:val="00551CA6"/>
    <w:rsid w:val="00555034"/>
    <w:rsid w:val="005570D2"/>
    <w:rsid w:val="0055790E"/>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6B5B"/>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4079"/>
    <w:rsid w:val="00645750"/>
    <w:rsid w:val="00650692"/>
    <w:rsid w:val="006508D3"/>
    <w:rsid w:val="00650AFA"/>
    <w:rsid w:val="00654A8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4052"/>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2514"/>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87E"/>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46E7D"/>
    <w:rsid w:val="007509BE"/>
    <w:rsid w:val="0075287B"/>
    <w:rsid w:val="00755C7B"/>
    <w:rsid w:val="00757C6D"/>
    <w:rsid w:val="00760158"/>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6B09"/>
    <w:rsid w:val="007D7FCB"/>
    <w:rsid w:val="007E07DA"/>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2E48"/>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1FA0"/>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0BBC"/>
    <w:rsid w:val="00921550"/>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4C4E"/>
    <w:rsid w:val="00976837"/>
    <w:rsid w:val="00980311"/>
    <w:rsid w:val="0098170E"/>
    <w:rsid w:val="0098285C"/>
    <w:rsid w:val="00983B56"/>
    <w:rsid w:val="009847FD"/>
    <w:rsid w:val="009851B3"/>
    <w:rsid w:val="00985300"/>
    <w:rsid w:val="00986720"/>
    <w:rsid w:val="00987F00"/>
    <w:rsid w:val="0099403D"/>
    <w:rsid w:val="00995B0B"/>
    <w:rsid w:val="009A1883"/>
    <w:rsid w:val="009A2B44"/>
    <w:rsid w:val="009A39F5"/>
    <w:rsid w:val="009A4588"/>
    <w:rsid w:val="009A5EA5"/>
    <w:rsid w:val="009A7842"/>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4D7"/>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5001"/>
    <w:rsid w:val="00A07689"/>
    <w:rsid w:val="00A07906"/>
    <w:rsid w:val="00A10908"/>
    <w:rsid w:val="00A12330"/>
    <w:rsid w:val="00A1259F"/>
    <w:rsid w:val="00A1446F"/>
    <w:rsid w:val="00A151B5"/>
    <w:rsid w:val="00A16488"/>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5C"/>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465"/>
    <w:rsid w:val="00AF7C74"/>
    <w:rsid w:val="00B000AF"/>
    <w:rsid w:val="00B04E79"/>
    <w:rsid w:val="00B07488"/>
    <w:rsid w:val="00B075A2"/>
    <w:rsid w:val="00B10DD2"/>
    <w:rsid w:val="00B115DC"/>
    <w:rsid w:val="00B11952"/>
    <w:rsid w:val="00B149AC"/>
    <w:rsid w:val="00B14BD2"/>
    <w:rsid w:val="00B1557F"/>
    <w:rsid w:val="00B1668D"/>
    <w:rsid w:val="00B16F50"/>
    <w:rsid w:val="00B17981"/>
    <w:rsid w:val="00B20CAD"/>
    <w:rsid w:val="00B233BB"/>
    <w:rsid w:val="00B25612"/>
    <w:rsid w:val="00B26437"/>
    <w:rsid w:val="00B2678E"/>
    <w:rsid w:val="00B30647"/>
    <w:rsid w:val="00B31F0E"/>
    <w:rsid w:val="00B34F25"/>
    <w:rsid w:val="00B43672"/>
    <w:rsid w:val="00B473D8"/>
    <w:rsid w:val="00B47464"/>
    <w:rsid w:val="00B5165A"/>
    <w:rsid w:val="00B524C1"/>
    <w:rsid w:val="00B52C8D"/>
    <w:rsid w:val="00B564BF"/>
    <w:rsid w:val="00B6104E"/>
    <w:rsid w:val="00B610C7"/>
    <w:rsid w:val="00B62106"/>
    <w:rsid w:val="00B626A8"/>
    <w:rsid w:val="00B65695"/>
    <w:rsid w:val="00B66526"/>
    <w:rsid w:val="00B665A3"/>
    <w:rsid w:val="00B72705"/>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09D2"/>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8596F"/>
    <w:rsid w:val="00C9047F"/>
    <w:rsid w:val="00C91F65"/>
    <w:rsid w:val="00C92310"/>
    <w:rsid w:val="00C95150"/>
    <w:rsid w:val="00C95A73"/>
    <w:rsid w:val="00C97A5D"/>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962"/>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3FC"/>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1E5D"/>
    <w:rsid w:val="00E73CCD"/>
    <w:rsid w:val="00E76453"/>
    <w:rsid w:val="00E77353"/>
    <w:rsid w:val="00E775AE"/>
    <w:rsid w:val="00E81202"/>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577"/>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3019"/>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3F8D"/>
    <w:rsid w:val="00F84153"/>
    <w:rsid w:val="00F85661"/>
    <w:rsid w:val="00F85D21"/>
    <w:rsid w:val="00F9582E"/>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83D75BA-D1FE-4ED1-A13A-86A1F059F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F9582E"/>
    <w:rPr>
      <w:sz w:val="16"/>
      <w:szCs w:val="16"/>
    </w:rPr>
  </w:style>
  <w:style w:type="paragraph" w:styleId="CommentText">
    <w:name w:val="annotation text"/>
    <w:basedOn w:val="Normal"/>
    <w:link w:val="CommentTextChar"/>
    <w:unhideWhenUsed/>
    <w:rsid w:val="00F9582E"/>
    <w:rPr>
      <w:sz w:val="20"/>
      <w:szCs w:val="20"/>
    </w:rPr>
  </w:style>
  <w:style w:type="character" w:customStyle="1" w:styleId="CommentTextChar">
    <w:name w:val="Comment Text Char"/>
    <w:basedOn w:val="DefaultParagraphFont"/>
    <w:link w:val="CommentText"/>
    <w:rsid w:val="00F9582E"/>
  </w:style>
  <w:style w:type="paragraph" w:styleId="CommentSubject">
    <w:name w:val="annotation subject"/>
    <w:basedOn w:val="CommentText"/>
    <w:next w:val="CommentText"/>
    <w:link w:val="CommentSubjectChar"/>
    <w:semiHidden/>
    <w:unhideWhenUsed/>
    <w:rsid w:val="00F9582E"/>
    <w:rPr>
      <w:b/>
      <w:bCs/>
    </w:rPr>
  </w:style>
  <w:style w:type="character" w:customStyle="1" w:styleId="CommentSubjectChar">
    <w:name w:val="Comment Subject Char"/>
    <w:basedOn w:val="CommentTextChar"/>
    <w:link w:val="CommentSubject"/>
    <w:semiHidden/>
    <w:rsid w:val="00F9582E"/>
    <w:rPr>
      <w:b/>
      <w:bCs/>
    </w:rPr>
  </w:style>
  <w:style w:type="character" w:styleId="Hyperlink">
    <w:name w:val="Hyperlink"/>
    <w:basedOn w:val="DefaultParagraphFont"/>
    <w:unhideWhenUsed/>
    <w:rsid w:val="0071787E"/>
    <w:rPr>
      <w:color w:val="0000FF" w:themeColor="hyperlink"/>
      <w:u w:val="single"/>
    </w:rPr>
  </w:style>
  <w:style w:type="character" w:customStyle="1" w:styleId="UnresolvedMention1">
    <w:name w:val="Unresolved Mention1"/>
    <w:basedOn w:val="DefaultParagraphFont"/>
    <w:uiPriority w:val="99"/>
    <w:semiHidden/>
    <w:unhideWhenUsed/>
    <w:rsid w:val="0071787E"/>
    <w:rPr>
      <w:color w:val="605E5C"/>
      <w:shd w:val="clear" w:color="auto" w:fill="E1DFDD"/>
    </w:rPr>
  </w:style>
  <w:style w:type="paragraph" w:styleId="Revision">
    <w:name w:val="Revision"/>
    <w:hidden/>
    <w:uiPriority w:val="99"/>
    <w:semiHidden/>
    <w:rsid w:val="003069F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866</Words>
  <Characters>4739</Characters>
  <Application>Microsoft Office Word</Application>
  <DocSecurity>0</DocSecurity>
  <Lines>102</Lines>
  <Paragraphs>36</Paragraphs>
  <ScaleCrop>false</ScaleCrop>
  <HeadingPairs>
    <vt:vector size="2" baseType="variant">
      <vt:variant>
        <vt:lpstr>Title</vt:lpstr>
      </vt:variant>
      <vt:variant>
        <vt:i4>1</vt:i4>
      </vt:variant>
    </vt:vector>
  </HeadingPairs>
  <TitlesOfParts>
    <vt:vector size="1" baseType="lpstr">
      <vt:lpstr>BA - HB01400 (Committee Report (Unamended))</vt:lpstr>
    </vt:vector>
  </TitlesOfParts>
  <Company>State of Texas</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21050</dc:subject>
  <dc:creator>State of Texas</dc:creator>
  <dc:description>HB 1400 by Harris-(H)Natural Resources</dc:description>
  <cp:lastModifiedBy>David Torres</cp:lastModifiedBy>
  <cp:revision>2</cp:revision>
  <cp:lastPrinted>2003-11-26T17:21:00Z</cp:lastPrinted>
  <dcterms:created xsi:type="dcterms:W3CDTF">2025-03-25T15:13:00Z</dcterms:created>
  <dcterms:modified xsi:type="dcterms:W3CDTF">2025-03-25T15:13:00Z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25.81.74</vt:lpwstr>
  </property>
</Properties>
</file>