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55798" w14:paraId="18633638" w14:textId="77777777" w:rsidTr="00345119">
        <w:tc>
          <w:tcPr>
            <w:tcW w:w="9576" w:type="dxa"/>
            <w:noWrap/>
          </w:tcPr>
          <w:p w14:paraId="4393CE6E" w14:textId="77777777" w:rsidR="008423E4" w:rsidRPr="0022177D" w:rsidRDefault="00DC0601" w:rsidP="0022082D">
            <w:pPr>
              <w:pStyle w:val="Heading1"/>
            </w:pPr>
            <w:r w:rsidRPr="00631897">
              <w:t>BILL ANALYSIS</w:t>
            </w:r>
          </w:p>
        </w:tc>
      </w:tr>
    </w:tbl>
    <w:p w14:paraId="3123B72B" w14:textId="77777777" w:rsidR="008423E4" w:rsidRPr="0022177D" w:rsidRDefault="008423E4" w:rsidP="0022082D">
      <w:pPr>
        <w:jc w:val="center"/>
      </w:pPr>
    </w:p>
    <w:p w14:paraId="4236C8A2" w14:textId="77777777" w:rsidR="008423E4" w:rsidRPr="00B31F0E" w:rsidRDefault="008423E4" w:rsidP="0022082D"/>
    <w:p w14:paraId="4ABBCACA" w14:textId="77777777" w:rsidR="008423E4" w:rsidRPr="00742794" w:rsidRDefault="008423E4" w:rsidP="0022082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55798" w14:paraId="673261C8" w14:textId="77777777" w:rsidTr="00345119">
        <w:tc>
          <w:tcPr>
            <w:tcW w:w="9576" w:type="dxa"/>
          </w:tcPr>
          <w:p w14:paraId="215F7C5B" w14:textId="37B92BEC" w:rsidR="008423E4" w:rsidRPr="00861995" w:rsidRDefault="00DC0601" w:rsidP="0022082D">
            <w:pPr>
              <w:jc w:val="right"/>
            </w:pPr>
            <w:r>
              <w:t>H.B. 2673</w:t>
            </w:r>
          </w:p>
        </w:tc>
      </w:tr>
      <w:tr w:rsidR="00F55798" w14:paraId="7199EC88" w14:textId="77777777" w:rsidTr="00345119">
        <w:tc>
          <w:tcPr>
            <w:tcW w:w="9576" w:type="dxa"/>
          </w:tcPr>
          <w:p w14:paraId="12DE34BD" w14:textId="54B8D7D3" w:rsidR="008423E4" w:rsidRPr="00861995" w:rsidRDefault="00DC0601" w:rsidP="0022082D">
            <w:pPr>
              <w:jc w:val="right"/>
            </w:pPr>
            <w:r>
              <w:t xml:space="preserve">By: </w:t>
            </w:r>
            <w:r w:rsidR="005A35AC">
              <w:t>Lujan</w:t>
            </w:r>
          </w:p>
        </w:tc>
      </w:tr>
      <w:tr w:rsidR="00F55798" w14:paraId="51737601" w14:textId="77777777" w:rsidTr="00345119">
        <w:tc>
          <w:tcPr>
            <w:tcW w:w="9576" w:type="dxa"/>
          </w:tcPr>
          <w:p w14:paraId="39140E40" w14:textId="6A54520F" w:rsidR="008423E4" w:rsidRPr="00861995" w:rsidRDefault="00DC0601" w:rsidP="0022082D">
            <w:pPr>
              <w:jc w:val="right"/>
            </w:pPr>
            <w:r>
              <w:t>Land &amp; Resource Management</w:t>
            </w:r>
          </w:p>
        </w:tc>
      </w:tr>
      <w:tr w:rsidR="00F55798" w14:paraId="1AB849DD" w14:textId="77777777" w:rsidTr="00345119">
        <w:tc>
          <w:tcPr>
            <w:tcW w:w="9576" w:type="dxa"/>
          </w:tcPr>
          <w:p w14:paraId="5582EC83" w14:textId="43A22A57" w:rsidR="008423E4" w:rsidRDefault="00DC0601" w:rsidP="0022082D">
            <w:pPr>
              <w:jc w:val="right"/>
            </w:pPr>
            <w:r>
              <w:t>Committee Report (Unamended)</w:t>
            </w:r>
          </w:p>
        </w:tc>
      </w:tr>
    </w:tbl>
    <w:p w14:paraId="2AF668D2" w14:textId="77777777" w:rsidR="008423E4" w:rsidRDefault="008423E4" w:rsidP="0022082D">
      <w:pPr>
        <w:tabs>
          <w:tab w:val="right" w:pos="9360"/>
        </w:tabs>
      </w:pPr>
    </w:p>
    <w:p w14:paraId="4A200958" w14:textId="77777777" w:rsidR="008423E4" w:rsidRDefault="008423E4" w:rsidP="0022082D"/>
    <w:p w14:paraId="4A1352A1" w14:textId="77777777" w:rsidR="008423E4" w:rsidRDefault="008423E4" w:rsidP="0022082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55798" w14:paraId="2B2D42DF" w14:textId="77777777" w:rsidTr="00345119">
        <w:tc>
          <w:tcPr>
            <w:tcW w:w="9576" w:type="dxa"/>
          </w:tcPr>
          <w:p w14:paraId="6255C646" w14:textId="77777777" w:rsidR="008423E4" w:rsidRPr="00A8133F" w:rsidRDefault="00DC0601" w:rsidP="0022082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FA458D4" w14:textId="77777777" w:rsidR="008423E4" w:rsidRDefault="008423E4" w:rsidP="0022082D"/>
          <w:p w14:paraId="2EF077FC" w14:textId="6A232EE5" w:rsidR="008423E4" w:rsidRDefault="00DC0601" w:rsidP="002208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new cemeteries are generally prohibited from being established in or within </w:t>
            </w:r>
            <w:r>
              <w:t>certain distances of a municipality</w:t>
            </w:r>
            <w:r w:rsidR="00B55C29">
              <w:t xml:space="preserve"> based on the municipality's population and that</w:t>
            </w:r>
            <w:r w:rsidR="002B7CB2">
              <w:t>,</w:t>
            </w:r>
            <w:r w:rsidR="00B55C29">
              <w:t xml:space="preserve"> while e</w:t>
            </w:r>
            <w:r>
              <w:t>xisting cemeteries c</w:t>
            </w:r>
            <w:r w:rsidR="006B6CDD">
              <w:t>an</w:t>
            </w:r>
            <w:r>
              <w:t xml:space="preserve"> expand onto adjacent land</w:t>
            </w:r>
            <w:r w:rsidR="002B7CB2">
              <w:t>,</w:t>
            </w:r>
            <w:r w:rsidR="00B55C29">
              <w:t xml:space="preserve"> </w:t>
            </w:r>
            <w:r>
              <w:t>entirely new burial grounds</w:t>
            </w:r>
            <w:r w:rsidR="00B55C29">
              <w:t xml:space="preserve"> generally</w:t>
            </w:r>
            <w:r>
              <w:t xml:space="preserve"> ha</w:t>
            </w:r>
            <w:r w:rsidR="006B6CDD">
              <w:t>ve</w:t>
            </w:r>
            <w:r>
              <w:t xml:space="preserve"> to be outside municipal boundaries. </w:t>
            </w:r>
            <w:r w:rsidR="00B55C29">
              <w:t>The bill author has also informed the committee that t</w:t>
            </w:r>
            <w:r>
              <w:t xml:space="preserve">his long-standing policy ensured that cemeteries did not conflict with urban development or public health needs as </w:t>
            </w:r>
            <w:r w:rsidR="00B55C29">
              <w:t>municipalities</w:t>
            </w:r>
            <w:r>
              <w:t xml:space="preserve"> grew</w:t>
            </w:r>
            <w:r w:rsidR="00B55C29">
              <w:t xml:space="preserve"> but that </w:t>
            </w:r>
            <w:r>
              <w:t>H</w:t>
            </w:r>
            <w:r w:rsidR="00B55C29">
              <w:t>.</w:t>
            </w:r>
            <w:r>
              <w:t>B</w:t>
            </w:r>
            <w:r w:rsidR="00B55C29">
              <w:t>.</w:t>
            </w:r>
            <w:r>
              <w:t xml:space="preserve"> 783 from</w:t>
            </w:r>
            <w:r w:rsidR="00D17A63">
              <w:t xml:space="preserve"> the 88th Regular Session</w:t>
            </w:r>
            <w:r>
              <w:t xml:space="preserve"> broke with this precedent by </w:t>
            </w:r>
            <w:r w:rsidR="00D17A63">
              <w:t>providing for</w:t>
            </w:r>
            <w:r>
              <w:t xml:space="preserve"> new cemeter</w:t>
            </w:r>
            <w:r>
              <w:t xml:space="preserve">ies inside the limits of </w:t>
            </w:r>
            <w:r w:rsidR="00D17A63">
              <w:t>certain</w:t>
            </w:r>
            <w:r>
              <w:t xml:space="preserve"> municipalities. H</w:t>
            </w:r>
            <w:r w:rsidR="00D17A63">
              <w:t>.</w:t>
            </w:r>
            <w:r>
              <w:t>B</w:t>
            </w:r>
            <w:r w:rsidR="00D17A63">
              <w:t>.</w:t>
            </w:r>
            <w:r>
              <w:t xml:space="preserve"> 2673</w:t>
            </w:r>
            <w:r w:rsidR="00D17A63">
              <w:t xml:space="preserve"> seeks to </w:t>
            </w:r>
            <w:r>
              <w:t xml:space="preserve">restore the </w:t>
            </w:r>
            <w:r w:rsidR="002B7CB2">
              <w:t xml:space="preserve">previous regulations regarding cemeteries and municipal development </w:t>
            </w:r>
            <w:r>
              <w:t>that served Texas communities well for generations.</w:t>
            </w:r>
          </w:p>
          <w:p w14:paraId="5A37D683" w14:textId="77777777" w:rsidR="008423E4" w:rsidRPr="00E26B13" w:rsidRDefault="008423E4" w:rsidP="0022082D">
            <w:pPr>
              <w:rPr>
                <w:b/>
              </w:rPr>
            </w:pPr>
          </w:p>
        </w:tc>
      </w:tr>
      <w:tr w:rsidR="00F55798" w14:paraId="28F24E5A" w14:textId="77777777" w:rsidTr="00345119">
        <w:tc>
          <w:tcPr>
            <w:tcW w:w="9576" w:type="dxa"/>
          </w:tcPr>
          <w:p w14:paraId="026B3258" w14:textId="77777777" w:rsidR="0017725B" w:rsidRDefault="00DC0601" w:rsidP="002208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576F876" w14:textId="77777777" w:rsidR="0017725B" w:rsidRDefault="0017725B" w:rsidP="0022082D">
            <w:pPr>
              <w:rPr>
                <w:b/>
                <w:u w:val="single"/>
              </w:rPr>
            </w:pPr>
          </w:p>
          <w:p w14:paraId="12A072D9" w14:textId="3062A382" w:rsidR="00CA23F6" w:rsidRPr="00CA23F6" w:rsidRDefault="00DC0601" w:rsidP="0022082D">
            <w:pPr>
              <w:jc w:val="both"/>
            </w:pPr>
            <w:r>
              <w:t xml:space="preserve">It is the </w:t>
            </w:r>
            <w:r>
              <w:t>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0A458B01" w14:textId="77777777" w:rsidR="0017725B" w:rsidRPr="0017725B" w:rsidRDefault="0017725B" w:rsidP="0022082D">
            <w:pPr>
              <w:rPr>
                <w:b/>
                <w:u w:val="single"/>
              </w:rPr>
            </w:pPr>
          </w:p>
        </w:tc>
      </w:tr>
      <w:tr w:rsidR="00F55798" w14:paraId="0E71EB0A" w14:textId="77777777" w:rsidTr="00345119">
        <w:tc>
          <w:tcPr>
            <w:tcW w:w="9576" w:type="dxa"/>
          </w:tcPr>
          <w:p w14:paraId="72B493E1" w14:textId="77777777" w:rsidR="008423E4" w:rsidRPr="00A8133F" w:rsidRDefault="00DC0601" w:rsidP="0022082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49A1FFE" w14:textId="77777777" w:rsidR="008423E4" w:rsidRDefault="008423E4" w:rsidP="0022082D"/>
          <w:p w14:paraId="7A3ABC51" w14:textId="3A576D75" w:rsidR="00CA23F6" w:rsidRDefault="00DC0601" w:rsidP="002208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1E5A6F70" w14:textId="77777777" w:rsidR="008423E4" w:rsidRPr="00E21FDC" w:rsidRDefault="008423E4" w:rsidP="0022082D">
            <w:pPr>
              <w:rPr>
                <w:b/>
              </w:rPr>
            </w:pPr>
          </w:p>
        </w:tc>
      </w:tr>
      <w:tr w:rsidR="00F55798" w14:paraId="7E00D014" w14:textId="77777777" w:rsidTr="00345119">
        <w:tc>
          <w:tcPr>
            <w:tcW w:w="9576" w:type="dxa"/>
          </w:tcPr>
          <w:p w14:paraId="43529FD2" w14:textId="77777777" w:rsidR="008423E4" w:rsidRPr="00A8133F" w:rsidRDefault="00DC0601" w:rsidP="0022082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3CA162D" w14:textId="77777777" w:rsidR="008423E4" w:rsidRDefault="008423E4" w:rsidP="0022082D"/>
          <w:p w14:paraId="0AC1A2DA" w14:textId="33D4AE44" w:rsidR="009C36CD" w:rsidRDefault="00DC0601" w:rsidP="0022082D">
            <w:pPr>
              <w:pStyle w:val="Header"/>
              <w:jc w:val="both"/>
            </w:pPr>
            <w:r>
              <w:t xml:space="preserve">H.B. 2673 repeals </w:t>
            </w:r>
            <w:r w:rsidR="008F197B">
              <w:t xml:space="preserve">Health and Safety Code </w:t>
            </w:r>
            <w:r>
              <w:t>provisions that do the following</w:t>
            </w:r>
            <w:r w:rsidR="008514B4">
              <w:t xml:space="preserve"> with respect to a county with a population of more than 750,000 or that is adjacent to</w:t>
            </w:r>
            <w:r w:rsidR="008F197B">
              <w:t xml:space="preserve"> such</w:t>
            </w:r>
            <w:r w:rsidR="008514B4">
              <w:t xml:space="preserve"> a county and</w:t>
            </w:r>
            <w:r w:rsidR="00314C75">
              <w:t xml:space="preserve"> with respect</w:t>
            </w:r>
            <w:r w:rsidR="008514B4">
              <w:t xml:space="preserve"> to a municipality</w:t>
            </w:r>
            <w:r w:rsidR="007E6A18">
              <w:t xml:space="preserve"> that is located</w:t>
            </w:r>
            <w:r w:rsidR="008514B4">
              <w:t xml:space="preserve"> in any of th</w:t>
            </w:r>
            <w:r w:rsidR="00C355AC">
              <w:t>o</w:t>
            </w:r>
            <w:r w:rsidR="008514B4">
              <w:t>se counties:</w:t>
            </w:r>
          </w:p>
          <w:p w14:paraId="029D932E" w14:textId="63AEA5DA" w:rsidR="000C756F" w:rsidRDefault="00DC0601" w:rsidP="0022082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authorize an individual, corporation, partnership, firm, trust, or association to file a written application with </w:t>
            </w:r>
            <w:r w:rsidRPr="000C756F">
              <w:t xml:space="preserve">the </w:t>
            </w:r>
            <w:r w:rsidR="00343BDA">
              <w:t xml:space="preserve">county </w:t>
            </w:r>
            <w:r w:rsidRPr="000C756F">
              <w:t>commissioners court</w:t>
            </w:r>
            <w:r>
              <w:t xml:space="preserve"> or</w:t>
            </w:r>
            <w:r w:rsidRPr="000C756F">
              <w:t xml:space="preserve"> </w:t>
            </w:r>
            <w:r>
              <w:t xml:space="preserve">the </w:t>
            </w:r>
            <w:r w:rsidR="00343BDA">
              <w:t xml:space="preserve">municipality's </w:t>
            </w:r>
            <w:r>
              <w:t>governing body</w:t>
            </w:r>
            <w:r w:rsidR="00343BDA">
              <w:t>, as applicable,</w:t>
            </w:r>
            <w:r>
              <w:t xml:space="preserve"> to establish or use a cemetery located inside the limits of the </w:t>
            </w:r>
            <w:r w:rsidR="00C355AC">
              <w:t xml:space="preserve">respective </w:t>
            </w:r>
            <w:r>
              <w:t xml:space="preserve">county or municipality; </w:t>
            </w:r>
          </w:p>
          <w:p w14:paraId="74FFB95D" w14:textId="06CA2264" w:rsidR="000C756F" w:rsidRDefault="00DC0601" w:rsidP="0022082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require t</w:t>
            </w:r>
            <w:r w:rsidRPr="000C756F">
              <w:t>he commissioners court by order</w:t>
            </w:r>
            <w:r>
              <w:t xml:space="preserve"> or the </w:t>
            </w:r>
            <w:r w:rsidR="00C355AC">
              <w:t xml:space="preserve">municipality's </w:t>
            </w:r>
            <w:r>
              <w:t>governing body by ordinance</w:t>
            </w:r>
            <w:r w:rsidR="00C355AC">
              <w:t>, respectively,</w:t>
            </w:r>
            <w:r>
              <w:t xml:space="preserve"> to prescribe the information to be included in the application; </w:t>
            </w:r>
            <w:r w:rsidR="00CA23F6">
              <w:t>and</w:t>
            </w:r>
          </w:p>
          <w:p w14:paraId="78CC812B" w14:textId="27F04CC1" w:rsidR="000C756F" w:rsidRDefault="00DC0601" w:rsidP="0022082D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authorize </w:t>
            </w:r>
            <w:r w:rsidR="00C355AC">
              <w:t>t</w:t>
            </w:r>
            <w:r w:rsidRPr="000C756F">
              <w:t>he commissioners court by order</w:t>
            </w:r>
            <w:r>
              <w:t xml:space="preserve"> or the </w:t>
            </w:r>
            <w:r w:rsidR="00C355AC">
              <w:t xml:space="preserve">municipality's </w:t>
            </w:r>
            <w:r>
              <w:t>governing body by ordinance</w:t>
            </w:r>
            <w:r w:rsidR="00C355AC">
              <w:t>, respectively,</w:t>
            </w:r>
            <w:r>
              <w:t xml:space="preserve"> to authorize the establishment or use of the cemetery if </w:t>
            </w:r>
            <w:r w:rsidRPr="000C756F">
              <w:t>the</w:t>
            </w:r>
            <w:r w:rsidR="00C355AC">
              <w:t xml:space="preserve"> respective</w:t>
            </w:r>
            <w:r w:rsidRPr="000C756F">
              <w:t xml:space="preserve"> commissioners court </w:t>
            </w:r>
            <w:r>
              <w:t xml:space="preserve">or </w:t>
            </w:r>
            <w:r w:rsidR="00C355AC">
              <w:t>municipal</w:t>
            </w:r>
            <w:r>
              <w:t xml:space="preserve"> governing body determines and states in the</w:t>
            </w:r>
            <w:r w:rsidR="00C355AC">
              <w:t xml:space="preserve"> respective</w:t>
            </w:r>
            <w:r>
              <w:t xml:space="preserve"> </w:t>
            </w:r>
            <w:r w:rsidRPr="008514B4">
              <w:t xml:space="preserve">order </w:t>
            </w:r>
            <w:r>
              <w:t xml:space="preserve">or ordinance that </w:t>
            </w:r>
            <w:r w:rsidR="007E6A18">
              <w:t>such</w:t>
            </w:r>
            <w:r>
              <w:t xml:space="preserve"> establishment or use does not adversely affect public health, safety, and welfare. </w:t>
            </w:r>
          </w:p>
          <w:p w14:paraId="6EF55721" w14:textId="77777777" w:rsidR="008F197B" w:rsidRDefault="008F197B" w:rsidP="002208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7865938" w14:textId="2F97D5E4" w:rsidR="00772B62" w:rsidRDefault="00DC0601" w:rsidP="002208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2673 amends the Health and Safety Code to make conforming changes.</w:t>
            </w:r>
          </w:p>
          <w:p w14:paraId="2C4483C1" w14:textId="77777777" w:rsidR="008F197B" w:rsidRDefault="008F197B" w:rsidP="002208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34C62104" w14:textId="5E6A4213" w:rsidR="000C756F" w:rsidRPr="009C36CD" w:rsidRDefault="00DC0601" w:rsidP="002208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2673 repeals </w:t>
            </w:r>
            <w:r w:rsidRPr="00C355AC">
              <w:t>Sections 711.008(g-3) and (g-4), Health and Safety Code.</w:t>
            </w:r>
          </w:p>
          <w:p w14:paraId="41914B41" w14:textId="77777777" w:rsidR="008423E4" w:rsidRPr="00835628" w:rsidRDefault="008423E4" w:rsidP="0022082D">
            <w:pPr>
              <w:rPr>
                <w:b/>
              </w:rPr>
            </w:pPr>
          </w:p>
        </w:tc>
      </w:tr>
      <w:tr w:rsidR="00F55798" w14:paraId="53F752BC" w14:textId="77777777" w:rsidTr="00345119">
        <w:tc>
          <w:tcPr>
            <w:tcW w:w="9576" w:type="dxa"/>
          </w:tcPr>
          <w:p w14:paraId="003B9CCF" w14:textId="77777777" w:rsidR="008423E4" w:rsidRPr="00A8133F" w:rsidRDefault="00DC0601" w:rsidP="0022082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9FB6953" w14:textId="77777777" w:rsidR="008423E4" w:rsidRDefault="008423E4" w:rsidP="0022082D"/>
          <w:p w14:paraId="0D044A82" w14:textId="3AFB5FF6" w:rsidR="008423E4" w:rsidRPr="003624F2" w:rsidRDefault="00DC0601" w:rsidP="002208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78AB054D" w14:textId="77777777" w:rsidR="008423E4" w:rsidRPr="00233FDB" w:rsidRDefault="008423E4" w:rsidP="0022082D">
            <w:pPr>
              <w:rPr>
                <w:b/>
              </w:rPr>
            </w:pPr>
          </w:p>
        </w:tc>
      </w:tr>
    </w:tbl>
    <w:p w14:paraId="522DE1AB" w14:textId="77777777" w:rsidR="008423E4" w:rsidRPr="00BE0E75" w:rsidRDefault="008423E4" w:rsidP="0022082D">
      <w:pPr>
        <w:jc w:val="both"/>
        <w:rPr>
          <w:rFonts w:ascii="Arial" w:hAnsi="Arial"/>
          <w:sz w:val="16"/>
          <w:szCs w:val="16"/>
        </w:rPr>
      </w:pPr>
    </w:p>
    <w:p w14:paraId="45374220" w14:textId="77777777" w:rsidR="004108C3" w:rsidRPr="008423E4" w:rsidRDefault="004108C3" w:rsidP="0022082D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9758" w14:textId="77777777" w:rsidR="00DC0601" w:rsidRDefault="00DC0601">
      <w:r>
        <w:separator/>
      </w:r>
    </w:p>
  </w:endnote>
  <w:endnote w:type="continuationSeparator" w:id="0">
    <w:p w14:paraId="450D99A0" w14:textId="77777777" w:rsidR="00DC0601" w:rsidRDefault="00DC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825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55798" w14:paraId="1EF35C3B" w14:textId="77777777" w:rsidTr="009C1E9A">
      <w:trPr>
        <w:cantSplit/>
      </w:trPr>
      <w:tc>
        <w:tcPr>
          <w:tcW w:w="0" w:type="pct"/>
        </w:tcPr>
        <w:p w14:paraId="5AB8471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A8C5F6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635AE2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4676BB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E9CC30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55798" w14:paraId="7FEDBFD8" w14:textId="77777777" w:rsidTr="009C1E9A">
      <w:trPr>
        <w:cantSplit/>
      </w:trPr>
      <w:tc>
        <w:tcPr>
          <w:tcW w:w="0" w:type="pct"/>
        </w:tcPr>
        <w:p w14:paraId="7926181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5778106" w14:textId="48B2EB1E" w:rsidR="00EC379B" w:rsidRPr="009C1E9A" w:rsidRDefault="00DC060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28258-D</w:t>
          </w:r>
        </w:p>
      </w:tc>
      <w:tc>
        <w:tcPr>
          <w:tcW w:w="2453" w:type="pct"/>
        </w:tcPr>
        <w:p w14:paraId="149DAC75" w14:textId="3A8A55B3" w:rsidR="00EC379B" w:rsidRDefault="00DC060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3369F6">
            <w:t>25.124.819</w:t>
          </w:r>
          <w:r>
            <w:fldChar w:fldCharType="end"/>
          </w:r>
        </w:p>
      </w:tc>
    </w:tr>
    <w:tr w:rsidR="00F55798" w14:paraId="5C635DC1" w14:textId="77777777" w:rsidTr="009C1E9A">
      <w:trPr>
        <w:cantSplit/>
      </w:trPr>
      <w:tc>
        <w:tcPr>
          <w:tcW w:w="0" w:type="pct"/>
        </w:tcPr>
        <w:p w14:paraId="5EE5BC4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E74BE8B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FBEB0AA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18C3F4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55798" w14:paraId="4A39425B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B109758" w14:textId="77777777" w:rsidR="00EC379B" w:rsidRDefault="00DC060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68AE9D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1B37CE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7FE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FA7E" w14:textId="77777777" w:rsidR="00DC0601" w:rsidRDefault="00DC0601">
      <w:r>
        <w:separator/>
      </w:r>
    </w:p>
  </w:footnote>
  <w:footnote w:type="continuationSeparator" w:id="0">
    <w:p w14:paraId="3A13541A" w14:textId="77777777" w:rsidR="00DC0601" w:rsidRDefault="00DC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3FA8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9F30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CCB6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BA5"/>
    <w:multiLevelType w:val="hybridMultilevel"/>
    <w:tmpl w:val="294A7F0C"/>
    <w:lvl w:ilvl="0" w:tplc="846A4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B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67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C8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65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005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0A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0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CF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83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6E"/>
    <w:rsid w:val="00000A70"/>
    <w:rsid w:val="000032B8"/>
    <w:rsid w:val="00003B06"/>
    <w:rsid w:val="000054B9"/>
    <w:rsid w:val="000070BF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28F6"/>
    <w:rsid w:val="000236C1"/>
    <w:rsid w:val="000236EC"/>
    <w:rsid w:val="0002413D"/>
    <w:rsid w:val="000249F2"/>
    <w:rsid w:val="00026F1C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1FE1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98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5983"/>
    <w:rsid w:val="000C6DC1"/>
    <w:rsid w:val="000C6E20"/>
    <w:rsid w:val="000C756F"/>
    <w:rsid w:val="000C76D7"/>
    <w:rsid w:val="000C7F1D"/>
    <w:rsid w:val="000D25F1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2DAD"/>
    <w:rsid w:val="0017347B"/>
    <w:rsid w:val="0017725B"/>
    <w:rsid w:val="0018050C"/>
    <w:rsid w:val="0018117F"/>
    <w:rsid w:val="00181B91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4DE1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082D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3161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B7CB2"/>
    <w:rsid w:val="002C1C17"/>
    <w:rsid w:val="002C3203"/>
    <w:rsid w:val="002C3B07"/>
    <w:rsid w:val="002C532B"/>
    <w:rsid w:val="002C5713"/>
    <w:rsid w:val="002D05CC"/>
    <w:rsid w:val="002D305A"/>
    <w:rsid w:val="002E21B8"/>
    <w:rsid w:val="002E778B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4F8D"/>
    <w:rsid w:val="00313DFE"/>
    <w:rsid w:val="003143B2"/>
    <w:rsid w:val="00314821"/>
    <w:rsid w:val="0031483F"/>
    <w:rsid w:val="00314C75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9F6"/>
    <w:rsid w:val="00336BA4"/>
    <w:rsid w:val="00336C7A"/>
    <w:rsid w:val="00337392"/>
    <w:rsid w:val="00337659"/>
    <w:rsid w:val="003427C9"/>
    <w:rsid w:val="00343A92"/>
    <w:rsid w:val="00343BDA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3BE7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121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5BA1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26E4"/>
    <w:rsid w:val="00553E4A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5AC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6BF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62C2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6CDD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2B62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E6A1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26B1"/>
    <w:rsid w:val="008347A9"/>
    <w:rsid w:val="00835628"/>
    <w:rsid w:val="00835E90"/>
    <w:rsid w:val="0084176D"/>
    <w:rsid w:val="008423E4"/>
    <w:rsid w:val="00842900"/>
    <w:rsid w:val="00850CF0"/>
    <w:rsid w:val="008514B4"/>
    <w:rsid w:val="00851869"/>
    <w:rsid w:val="00851C04"/>
    <w:rsid w:val="008531A1"/>
    <w:rsid w:val="00853A94"/>
    <w:rsid w:val="00853D3F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078E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5768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0F01"/>
    <w:rsid w:val="008D27A5"/>
    <w:rsid w:val="008D2AAB"/>
    <w:rsid w:val="008D309C"/>
    <w:rsid w:val="008D58F9"/>
    <w:rsid w:val="008D7427"/>
    <w:rsid w:val="008E3338"/>
    <w:rsid w:val="008E47BE"/>
    <w:rsid w:val="008F09DF"/>
    <w:rsid w:val="008F197B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57977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4C67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20F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5C29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255C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EF6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5AC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3F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7A63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1A9E"/>
    <w:rsid w:val="00DB311F"/>
    <w:rsid w:val="00DB53C6"/>
    <w:rsid w:val="00DB59E3"/>
    <w:rsid w:val="00DB6CB6"/>
    <w:rsid w:val="00DB758F"/>
    <w:rsid w:val="00DC0601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5798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0615"/>
    <w:rsid w:val="00FC5388"/>
    <w:rsid w:val="00FC726C"/>
    <w:rsid w:val="00FD1B4B"/>
    <w:rsid w:val="00FD1B94"/>
    <w:rsid w:val="00FE19C5"/>
    <w:rsid w:val="00FE1C6E"/>
    <w:rsid w:val="00FE4286"/>
    <w:rsid w:val="00FE48C3"/>
    <w:rsid w:val="00FE5234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BBD867-8F4E-4A43-802B-FD17422D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355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35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55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5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55AC"/>
    <w:rPr>
      <w:b/>
      <w:bCs/>
    </w:rPr>
  </w:style>
  <w:style w:type="paragraph" w:styleId="Revision">
    <w:name w:val="Revision"/>
    <w:hidden/>
    <w:uiPriority w:val="99"/>
    <w:semiHidden/>
    <w:rsid w:val="008F197B"/>
    <w:rPr>
      <w:sz w:val="24"/>
      <w:szCs w:val="24"/>
    </w:rPr>
  </w:style>
  <w:style w:type="character" w:styleId="Hyperlink">
    <w:name w:val="Hyperlink"/>
    <w:basedOn w:val="DefaultParagraphFont"/>
    <w:unhideWhenUsed/>
    <w:rsid w:val="006B6C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2319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HB02673 (Committee Report (Unamended))</vt:lpstr>
    </vt:vector>
  </TitlesOfParts>
  <Company>State of Texas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28258</dc:subject>
  <dc:creator>State of Texas</dc:creator>
  <dc:description>HB 2673 by Lujan-(H)Land &amp; Resource Management</dc:description>
  <cp:lastModifiedBy>Stacey Nicchio</cp:lastModifiedBy>
  <cp:revision>2</cp:revision>
  <cp:lastPrinted>2003-11-26T17:21:00Z</cp:lastPrinted>
  <dcterms:created xsi:type="dcterms:W3CDTF">2025-05-09T17:03:00Z</dcterms:created>
  <dcterms:modified xsi:type="dcterms:W3CDTF">2025-05-09T17:03:00Z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25.124.819</vt:lpwstr>
  </property>
</Properties>
</file>