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5314" w14:paraId="08C0C249" w14:textId="77777777" w:rsidTr="00345119">
        <w:tc>
          <w:tcPr>
            <w:tcW w:w="9576" w:type="dxa"/>
            <w:noWrap/>
          </w:tcPr>
          <w:p w14:paraId="1DB01FCD" w14:textId="77777777" w:rsidR="008423E4" w:rsidRPr="0022177D" w:rsidRDefault="00985533" w:rsidP="0019429B">
            <w:pPr>
              <w:pStyle w:val="Heading1"/>
            </w:pPr>
            <w:r w:rsidRPr="00631897">
              <w:t>BILL ANALYSIS</w:t>
            </w:r>
          </w:p>
        </w:tc>
      </w:tr>
    </w:tbl>
    <w:p w14:paraId="65EA1095" w14:textId="77777777" w:rsidR="008423E4" w:rsidRPr="0022177D" w:rsidRDefault="008423E4" w:rsidP="0019429B">
      <w:pPr>
        <w:jc w:val="center"/>
      </w:pPr>
    </w:p>
    <w:p w14:paraId="5F8B0875" w14:textId="77777777" w:rsidR="008423E4" w:rsidRPr="00B31F0E" w:rsidRDefault="008423E4" w:rsidP="0019429B"/>
    <w:p w14:paraId="73D052A8" w14:textId="77777777" w:rsidR="008423E4" w:rsidRPr="00742794" w:rsidRDefault="008423E4" w:rsidP="0019429B">
      <w:pPr>
        <w:tabs>
          <w:tab w:val="right" w:pos="9360"/>
        </w:tabs>
      </w:pPr>
    </w:p>
    <w:tbl>
      <w:tblPr>
        <w:tblW w:w="0" w:type="auto"/>
        <w:tblLayout w:type="fixed"/>
        <w:tblLook w:val="01E0" w:firstRow="1" w:lastRow="1" w:firstColumn="1" w:lastColumn="1" w:noHBand="0" w:noVBand="0"/>
      </w:tblPr>
      <w:tblGrid>
        <w:gridCol w:w="9576"/>
      </w:tblGrid>
      <w:tr w:rsidR="00655314" w14:paraId="0B71CDE9" w14:textId="77777777" w:rsidTr="00345119">
        <w:tc>
          <w:tcPr>
            <w:tcW w:w="9576" w:type="dxa"/>
          </w:tcPr>
          <w:p w14:paraId="19FFF54A" w14:textId="4E186235" w:rsidR="008423E4" w:rsidRPr="00861995" w:rsidRDefault="00985533" w:rsidP="0019429B">
            <w:pPr>
              <w:jc w:val="right"/>
            </w:pPr>
            <w:r>
              <w:t>C.S.</w:t>
            </w:r>
            <w:r w:rsidR="004E3526">
              <w:t>H.B.</w:t>
            </w:r>
            <w:r>
              <w:t xml:space="preserve"> 2688</w:t>
            </w:r>
          </w:p>
        </w:tc>
      </w:tr>
      <w:tr w:rsidR="00655314" w14:paraId="004E3465" w14:textId="77777777" w:rsidTr="00345119">
        <w:tc>
          <w:tcPr>
            <w:tcW w:w="9576" w:type="dxa"/>
          </w:tcPr>
          <w:p w14:paraId="27F515B3" w14:textId="1D08E616" w:rsidR="008423E4" w:rsidRPr="00861995" w:rsidRDefault="00985533" w:rsidP="0019429B">
            <w:pPr>
              <w:jc w:val="right"/>
            </w:pPr>
            <w:r>
              <w:t xml:space="preserve">By: </w:t>
            </w:r>
            <w:r w:rsidR="00EB2AD5">
              <w:t>Harless</w:t>
            </w:r>
          </w:p>
        </w:tc>
      </w:tr>
      <w:tr w:rsidR="00655314" w14:paraId="5BE9F35A" w14:textId="77777777" w:rsidTr="00345119">
        <w:tc>
          <w:tcPr>
            <w:tcW w:w="9576" w:type="dxa"/>
          </w:tcPr>
          <w:p w14:paraId="533CBB4A" w14:textId="148511DC" w:rsidR="008423E4" w:rsidRPr="00861995" w:rsidRDefault="00985533" w:rsidP="0019429B">
            <w:pPr>
              <w:jc w:val="right"/>
            </w:pPr>
            <w:r>
              <w:t>Pensions, Investments &amp; Financial Services</w:t>
            </w:r>
          </w:p>
        </w:tc>
      </w:tr>
      <w:tr w:rsidR="00655314" w14:paraId="10E010A7" w14:textId="77777777" w:rsidTr="00345119">
        <w:tc>
          <w:tcPr>
            <w:tcW w:w="9576" w:type="dxa"/>
          </w:tcPr>
          <w:p w14:paraId="3929BA62" w14:textId="69DF9397" w:rsidR="008423E4" w:rsidRDefault="00985533" w:rsidP="0019429B">
            <w:pPr>
              <w:jc w:val="right"/>
            </w:pPr>
            <w:r>
              <w:t>Committee Report (Substituted)</w:t>
            </w:r>
          </w:p>
        </w:tc>
      </w:tr>
    </w:tbl>
    <w:p w14:paraId="7EEBA258" w14:textId="77777777" w:rsidR="008423E4" w:rsidRDefault="008423E4" w:rsidP="0019429B">
      <w:pPr>
        <w:tabs>
          <w:tab w:val="right" w:pos="9360"/>
        </w:tabs>
      </w:pPr>
    </w:p>
    <w:p w14:paraId="30BFF558" w14:textId="77777777" w:rsidR="008423E4" w:rsidRDefault="008423E4" w:rsidP="0019429B"/>
    <w:p w14:paraId="4F33EFAF" w14:textId="77777777" w:rsidR="008423E4" w:rsidRDefault="008423E4" w:rsidP="0019429B"/>
    <w:tbl>
      <w:tblPr>
        <w:tblW w:w="0" w:type="auto"/>
        <w:tblCellMar>
          <w:left w:w="115" w:type="dxa"/>
          <w:right w:w="115" w:type="dxa"/>
        </w:tblCellMar>
        <w:tblLook w:val="01E0" w:firstRow="1" w:lastRow="1" w:firstColumn="1" w:lastColumn="1" w:noHBand="0" w:noVBand="0"/>
      </w:tblPr>
      <w:tblGrid>
        <w:gridCol w:w="9360"/>
      </w:tblGrid>
      <w:tr w:rsidR="00655314" w14:paraId="6F915E95" w14:textId="77777777" w:rsidTr="0019429B">
        <w:tc>
          <w:tcPr>
            <w:tcW w:w="9360" w:type="dxa"/>
          </w:tcPr>
          <w:p w14:paraId="167EE7B1" w14:textId="77777777" w:rsidR="008423E4" w:rsidRPr="00A8133F" w:rsidRDefault="00985533" w:rsidP="0019429B">
            <w:pPr>
              <w:rPr>
                <w:b/>
              </w:rPr>
            </w:pPr>
            <w:r w:rsidRPr="009C1E9A">
              <w:rPr>
                <w:b/>
                <w:u w:val="single"/>
              </w:rPr>
              <w:t>BACKGROUND AND PURPOSE</w:t>
            </w:r>
            <w:r>
              <w:rPr>
                <w:b/>
              </w:rPr>
              <w:t xml:space="preserve"> </w:t>
            </w:r>
          </w:p>
          <w:p w14:paraId="1D8B1FFC" w14:textId="77777777" w:rsidR="008423E4" w:rsidRDefault="008423E4" w:rsidP="0019429B"/>
          <w:p w14:paraId="5C0C87B2" w14:textId="0D75678D" w:rsidR="008423E4" w:rsidRDefault="00985533" w:rsidP="0019429B">
            <w:pPr>
              <w:pStyle w:val="Header"/>
              <w:jc w:val="both"/>
            </w:pPr>
            <w:r>
              <w:t xml:space="preserve">The bill author has informed the committee that </w:t>
            </w:r>
            <w:r w:rsidRPr="007A5097">
              <w:t xml:space="preserve">the Houston Firefighters' Relief </w:t>
            </w:r>
            <w:r w:rsidR="00D60FDB">
              <w:t>and</w:t>
            </w:r>
            <w:r w:rsidR="00D60FDB" w:rsidRPr="007A5097">
              <w:t xml:space="preserve"> </w:t>
            </w:r>
            <w:r w:rsidRPr="007A5097">
              <w:t xml:space="preserve">Retirement Fund observed that the City of Houston </w:t>
            </w:r>
            <w:r w:rsidR="00021F47">
              <w:t>i</w:t>
            </w:r>
            <w:r w:rsidRPr="007A5097">
              <w:t>s experiencing issues retaining senior firefighters and having trouble recruiting new firefighters due to inadequate pension benefits.</w:t>
            </w:r>
            <w:r>
              <w:t xml:space="preserve"> </w:t>
            </w:r>
            <w:r w:rsidR="00760EE1">
              <w:t>C.S.H.B.</w:t>
            </w:r>
            <w:r w:rsidR="003E08EE">
              <w:t> </w:t>
            </w:r>
            <w:r w:rsidR="00760EE1">
              <w:t xml:space="preserve">2688 seeks to help the City of Houston recruit and retain firefighters, reduce pension costs, and grow the assets of the </w:t>
            </w:r>
            <w:r w:rsidR="00021F47">
              <w:t>f</w:t>
            </w:r>
            <w:r w:rsidR="00760EE1">
              <w:t xml:space="preserve">und </w:t>
            </w:r>
            <w:r>
              <w:t xml:space="preserve">by making </w:t>
            </w:r>
            <w:r w:rsidR="00760EE1">
              <w:t>a variety of</w:t>
            </w:r>
            <w:r>
              <w:t xml:space="preserve"> changes to </w:t>
            </w:r>
            <w:r w:rsidR="00021F47">
              <w:t>provisions governing the</w:t>
            </w:r>
            <w:r>
              <w:t xml:space="preserve"> operat</w:t>
            </w:r>
            <w:r w:rsidR="00021F47">
              <w:t>ion of the fund</w:t>
            </w:r>
            <w:r w:rsidR="00760EE1">
              <w:t xml:space="preserve">, </w:t>
            </w:r>
            <w:r>
              <w:t>includ</w:t>
            </w:r>
            <w:r w:rsidR="00021F47">
              <w:t>ing provisions relating to the normal</w:t>
            </w:r>
            <w:r>
              <w:t xml:space="preserve"> retirement </w:t>
            </w:r>
            <w:r w:rsidR="001145F2">
              <w:t>age</w:t>
            </w:r>
            <w:r w:rsidR="00136D20">
              <w:t>,</w:t>
            </w:r>
            <w:r w:rsidR="001145F2">
              <w:t xml:space="preserve"> deferred retirement option plan</w:t>
            </w:r>
            <w:r w:rsidR="00760EE1">
              <w:t>,</w:t>
            </w:r>
            <w:r w:rsidR="001145F2">
              <w:t xml:space="preserve"> eligibility and participation, and actuarial assumptions and methods</w:t>
            </w:r>
            <w:r>
              <w:t xml:space="preserve">. </w:t>
            </w:r>
          </w:p>
          <w:p w14:paraId="0419DF1F" w14:textId="2CC61E42" w:rsidR="003E08EE" w:rsidRPr="00E26B13" w:rsidRDefault="003E08EE" w:rsidP="0019429B">
            <w:pPr>
              <w:pStyle w:val="Header"/>
              <w:jc w:val="both"/>
              <w:rPr>
                <w:b/>
              </w:rPr>
            </w:pPr>
          </w:p>
        </w:tc>
      </w:tr>
      <w:tr w:rsidR="00655314" w14:paraId="7CF09D6B" w14:textId="77777777" w:rsidTr="0019429B">
        <w:tc>
          <w:tcPr>
            <w:tcW w:w="9360" w:type="dxa"/>
          </w:tcPr>
          <w:p w14:paraId="36E66E6B" w14:textId="77777777" w:rsidR="0017725B" w:rsidRDefault="00985533" w:rsidP="0019429B">
            <w:pPr>
              <w:rPr>
                <w:b/>
                <w:u w:val="single"/>
              </w:rPr>
            </w:pPr>
            <w:r>
              <w:rPr>
                <w:b/>
                <w:u w:val="single"/>
              </w:rPr>
              <w:t>CRIMINAL JUSTICE IMPACT</w:t>
            </w:r>
          </w:p>
          <w:p w14:paraId="4126D51D" w14:textId="77777777" w:rsidR="0017725B" w:rsidRDefault="0017725B" w:rsidP="0019429B">
            <w:pPr>
              <w:rPr>
                <w:b/>
                <w:u w:val="single"/>
              </w:rPr>
            </w:pPr>
          </w:p>
          <w:p w14:paraId="2F0528FE" w14:textId="74025556" w:rsidR="00E41EEE" w:rsidRPr="00E41EEE" w:rsidRDefault="00985533" w:rsidP="0019429B">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3BE93705" w14:textId="77777777" w:rsidR="0017725B" w:rsidRPr="0017725B" w:rsidRDefault="0017725B" w:rsidP="0019429B">
            <w:pPr>
              <w:rPr>
                <w:b/>
                <w:u w:val="single"/>
              </w:rPr>
            </w:pPr>
          </w:p>
        </w:tc>
      </w:tr>
      <w:tr w:rsidR="00655314" w14:paraId="0179D8CC" w14:textId="77777777" w:rsidTr="0019429B">
        <w:tc>
          <w:tcPr>
            <w:tcW w:w="9360" w:type="dxa"/>
          </w:tcPr>
          <w:p w14:paraId="35D41393" w14:textId="77777777" w:rsidR="008423E4" w:rsidRPr="00A8133F" w:rsidRDefault="00985533" w:rsidP="0019429B">
            <w:pPr>
              <w:rPr>
                <w:b/>
              </w:rPr>
            </w:pPr>
            <w:r w:rsidRPr="009C1E9A">
              <w:rPr>
                <w:b/>
                <w:u w:val="single"/>
              </w:rPr>
              <w:t>RULEMAKING AUTHORITY</w:t>
            </w:r>
            <w:r>
              <w:rPr>
                <w:b/>
              </w:rPr>
              <w:t xml:space="preserve"> </w:t>
            </w:r>
          </w:p>
          <w:p w14:paraId="23FFB211" w14:textId="77777777" w:rsidR="008423E4" w:rsidRDefault="008423E4" w:rsidP="0019429B"/>
          <w:p w14:paraId="4161257B" w14:textId="46E7B94C" w:rsidR="00E41EEE" w:rsidRDefault="00985533" w:rsidP="0019429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B561BEC" w14:textId="77777777" w:rsidR="008423E4" w:rsidRPr="00E21FDC" w:rsidRDefault="008423E4" w:rsidP="0019429B">
            <w:pPr>
              <w:rPr>
                <w:b/>
              </w:rPr>
            </w:pPr>
          </w:p>
        </w:tc>
      </w:tr>
      <w:tr w:rsidR="00655314" w14:paraId="3F159888" w14:textId="77777777" w:rsidTr="0019429B">
        <w:tc>
          <w:tcPr>
            <w:tcW w:w="9360" w:type="dxa"/>
          </w:tcPr>
          <w:p w14:paraId="3A7EB618" w14:textId="77777777" w:rsidR="008423E4" w:rsidRDefault="00985533" w:rsidP="0019429B">
            <w:pPr>
              <w:rPr>
                <w:b/>
              </w:rPr>
            </w:pPr>
            <w:r w:rsidRPr="009C1E9A">
              <w:rPr>
                <w:b/>
                <w:u w:val="single"/>
              </w:rPr>
              <w:t>ANALYSIS</w:t>
            </w:r>
            <w:r>
              <w:rPr>
                <w:b/>
              </w:rPr>
              <w:t xml:space="preserve"> </w:t>
            </w:r>
          </w:p>
          <w:p w14:paraId="66DF385D" w14:textId="77777777" w:rsidR="0019429B" w:rsidRPr="00A8133F" w:rsidRDefault="0019429B" w:rsidP="0019429B">
            <w:pPr>
              <w:rPr>
                <w:b/>
              </w:rPr>
            </w:pPr>
          </w:p>
          <w:p w14:paraId="50B9E876" w14:textId="47839248" w:rsidR="00AC1E1A" w:rsidRDefault="00985533" w:rsidP="0019429B">
            <w:pPr>
              <w:pStyle w:val="Header"/>
              <w:tabs>
                <w:tab w:val="clear" w:pos="4320"/>
                <w:tab w:val="clear" w:pos="8640"/>
              </w:tabs>
              <w:jc w:val="both"/>
            </w:pPr>
            <w:r>
              <w:t>C.S.H.B.</w:t>
            </w:r>
            <w:r w:rsidR="00E87710" w:rsidRPr="00E87710">
              <w:t xml:space="preserve"> 2688 amends </w:t>
            </w:r>
            <w:r w:rsidR="000E250E">
              <w:t xml:space="preserve">the Revised </w:t>
            </w:r>
            <w:r w:rsidR="002D4CBB">
              <w:t>Statutes</w:t>
            </w:r>
            <w:r w:rsidR="00E87710" w:rsidRPr="00E87710">
              <w:t xml:space="preserve"> to revise </w:t>
            </w:r>
            <w:r w:rsidR="000E250E">
              <w:t xml:space="preserve">provisions governing </w:t>
            </w:r>
            <w:r>
              <w:t xml:space="preserve">the </w:t>
            </w:r>
            <w:r w:rsidRPr="00A22887">
              <w:t>firefighters</w:t>
            </w:r>
            <w:r>
              <w:t>'</w:t>
            </w:r>
            <w:r w:rsidRPr="00A22887">
              <w:t xml:space="preserve"> relief and retirement fund in </w:t>
            </w:r>
            <w:r>
              <w:t xml:space="preserve">a </w:t>
            </w:r>
            <w:r w:rsidRPr="00A22887">
              <w:t>municipalit</w:t>
            </w:r>
            <w:r>
              <w:t>y</w:t>
            </w:r>
            <w:r w:rsidRPr="00A22887">
              <w:t xml:space="preserve"> </w:t>
            </w:r>
            <w:r>
              <w:t xml:space="preserve">with a </w:t>
            </w:r>
            <w:r w:rsidRPr="00A22887">
              <w:t>population</w:t>
            </w:r>
            <w:r>
              <w:t xml:space="preserve"> of at least two million in the following manner:</w:t>
            </w:r>
          </w:p>
          <w:p w14:paraId="765F86D5" w14:textId="0F7DDA10" w:rsidR="00802771" w:rsidRDefault="00985533" w:rsidP="0019429B">
            <w:pPr>
              <w:pStyle w:val="Header"/>
              <w:numPr>
                <w:ilvl w:val="0"/>
                <w:numId w:val="3"/>
              </w:numPr>
              <w:jc w:val="both"/>
            </w:pPr>
            <w:r>
              <w:t>defines "entry age normal actuarial cost method" as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and establishes that, for purposes of this definition, the attribution period of a member's anticipated covered servic</w:t>
            </w:r>
            <w:r>
              <w:t>e:</w:t>
            </w:r>
          </w:p>
          <w:p w14:paraId="34E25DD5" w14:textId="056730CA" w:rsidR="00802771" w:rsidRDefault="00985533" w:rsidP="0019429B">
            <w:pPr>
              <w:pStyle w:val="Header"/>
              <w:numPr>
                <w:ilvl w:val="1"/>
                <w:numId w:val="4"/>
              </w:numPr>
              <w:jc w:val="both"/>
            </w:pPr>
            <w:r>
              <w:t>begins with the member's entry age, which is the member's age on the first day of the first period of member service for which the member accrues benefits under the fund, notwithstanding vesting or similar requirements; and</w:t>
            </w:r>
          </w:p>
          <w:p w14:paraId="2E4E6747" w14:textId="188DFA45" w:rsidR="00802771" w:rsidRDefault="00985533" w:rsidP="0019429B">
            <w:pPr>
              <w:pStyle w:val="Header"/>
              <w:numPr>
                <w:ilvl w:val="1"/>
                <w:numId w:val="4"/>
              </w:numPr>
              <w:tabs>
                <w:tab w:val="clear" w:pos="4320"/>
                <w:tab w:val="clear" w:pos="8640"/>
              </w:tabs>
              <w:jc w:val="both"/>
            </w:pPr>
            <w:r>
              <w:t>as to each benefit, ends with the member's assumed exit age, which for retirement benefits is</w:t>
            </w:r>
            <w:r w:rsidR="00F26F7E">
              <w:t xml:space="preserve"> the following</w:t>
            </w:r>
            <w:r>
              <w:t>:</w:t>
            </w:r>
          </w:p>
          <w:p w14:paraId="67B89260" w14:textId="77777777" w:rsidR="00802771" w:rsidRDefault="00985533" w:rsidP="0019429B">
            <w:pPr>
              <w:pStyle w:val="Header"/>
              <w:numPr>
                <w:ilvl w:val="2"/>
                <w:numId w:val="4"/>
              </w:numPr>
              <w:jc w:val="both"/>
            </w:pPr>
            <w:r>
              <w:t>the member's age on the member's latest assumed retirement date; and</w:t>
            </w:r>
          </w:p>
          <w:p w14:paraId="5FA32DD9" w14:textId="72650664" w:rsidR="00802771" w:rsidRDefault="00985533" w:rsidP="0019429B">
            <w:pPr>
              <w:pStyle w:val="Header"/>
              <w:numPr>
                <w:ilvl w:val="2"/>
                <w:numId w:val="4"/>
              </w:numPr>
              <w:tabs>
                <w:tab w:val="clear" w:pos="4320"/>
                <w:tab w:val="clear" w:pos="8640"/>
              </w:tabs>
              <w:jc w:val="both"/>
            </w:pPr>
            <w:r>
              <w:t xml:space="preserve">if a member elects to participate in the </w:t>
            </w:r>
            <w:r w:rsidR="00F26F7E" w:rsidRPr="00F26F7E">
              <w:t>deferred retirement option plan (DROP)</w:t>
            </w:r>
            <w:r>
              <w:t>, the member's age on subsequently terminating active service after the election;</w:t>
            </w:r>
          </w:p>
          <w:p w14:paraId="0717C552" w14:textId="18423533" w:rsidR="00AC1E1A" w:rsidRDefault="00985533" w:rsidP="0019429B">
            <w:pPr>
              <w:pStyle w:val="Header"/>
              <w:numPr>
                <w:ilvl w:val="0"/>
                <w:numId w:val="4"/>
              </w:numPr>
              <w:tabs>
                <w:tab w:val="clear" w:pos="4320"/>
                <w:tab w:val="clear" w:pos="8640"/>
              </w:tabs>
              <w:jc w:val="both"/>
            </w:pPr>
            <w:r>
              <w:t xml:space="preserve">removes a separate normal retirement age for members who were hired or rehired before, on, or after the year 2017 effective date and establishes a single definition of "normal retirement age" as the age at which </w:t>
            </w:r>
            <w:r w:rsidR="00567B77">
              <w:t xml:space="preserve">a </w:t>
            </w:r>
            <w:r>
              <w:t xml:space="preserve">member either attains 20 years </w:t>
            </w:r>
            <w:r>
              <w:t xml:space="preserve">of service or first attains both the age of at least 50 and at least 10 years of service; </w:t>
            </w:r>
          </w:p>
          <w:p w14:paraId="19233825" w14:textId="1D512531" w:rsidR="00C67DBD" w:rsidRDefault="00985533" w:rsidP="0019429B">
            <w:pPr>
              <w:pStyle w:val="Header"/>
              <w:numPr>
                <w:ilvl w:val="0"/>
                <w:numId w:val="3"/>
              </w:numPr>
              <w:jc w:val="both"/>
            </w:pPr>
            <w:r>
              <w:t xml:space="preserve">removes </w:t>
            </w:r>
            <w:r w:rsidR="00076346">
              <w:t>a</w:t>
            </w:r>
            <w:r w:rsidR="00D36CD8">
              <w:t xml:space="preserve"> prohibit</w:t>
            </w:r>
            <w:r w:rsidR="00076346">
              <w:t xml:space="preserve">ion </w:t>
            </w:r>
            <w:r w:rsidR="0047137B">
              <w:t>against</w:t>
            </w:r>
            <w:r w:rsidR="00D36CD8">
              <w:t xml:space="preserve"> the municipality and </w:t>
            </w:r>
            <w:r w:rsidR="003229B2" w:rsidRPr="003229B2">
              <w:t>the fund's board</w:t>
            </w:r>
            <w:r w:rsidR="0047137B">
              <w:t xml:space="preserve"> altering provisions</w:t>
            </w:r>
            <w:r>
              <w:t xml:space="preserve"> relating to the following</w:t>
            </w:r>
            <w:r w:rsidR="0047137B">
              <w:t xml:space="preserve"> </w:t>
            </w:r>
            <w:r w:rsidR="00D36CD8">
              <w:t xml:space="preserve">in a written agreement </w:t>
            </w:r>
            <w:r w:rsidR="00D36CD8" w:rsidRPr="00D36CD8">
              <w:t>authoriz</w:t>
            </w:r>
            <w:r w:rsidR="00D36CD8">
              <w:t>ing the</w:t>
            </w:r>
            <w:r w:rsidR="003229B2">
              <w:t xml:space="preserve"> </w:t>
            </w:r>
            <w:r w:rsidR="00D36CD8">
              <w:t xml:space="preserve">board </w:t>
            </w:r>
            <w:r w:rsidR="00D36CD8" w:rsidRPr="00D36CD8">
              <w:t>to alter benefit types or amounts, the means of determining contribution rates, or the contribution rates</w:t>
            </w:r>
            <w:r w:rsidR="00D36CD8">
              <w:t xml:space="preserve"> </w:t>
            </w:r>
            <w:r w:rsidR="00D36CD8" w:rsidRPr="00D36CD8">
              <w:t>on behalf of the members or beneficiaries of the fund</w:t>
            </w:r>
            <w:r w:rsidR="0047137B">
              <w:t>,</w:t>
            </w:r>
            <w:r w:rsidR="00D36CD8" w:rsidRPr="00D36CD8">
              <w:t xml:space="preserve"> except and only to the extent necessary to comply with federal law</w:t>
            </w:r>
            <w:r>
              <w:t>:</w:t>
            </w:r>
          </w:p>
          <w:p w14:paraId="58FF15AC" w14:textId="77777777" w:rsidR="007F70D3" w:rsidRDefault="00985533" w:rsidP="0019429B">
            <w:pPr>
              <w:pStyle w:val="Header"/>
              <w:numPr>
                <w:ilvl w:val="1"/>
                <w:numId w:val="3"/>
              </w:numPr>
              <w:jc w:val="both"/>
            </w:pPr>
            <w:r>
              <w:t>municipal contributions;</w:t>
            </w:r>
          </w:p>
          <w:p w14:paraId="4CEF3E40" w14:textId="77777777" w:rsidR="007F70D3" w:rsidRDefault="00985533" w:rsidP="0019429B">
            <w:pPr>
              <w:pStyle w:val="Header"/>
              <w:numPr>
                <w:ilvl w:val="1"/>
                <w:numId w:val="3"/>
              </w:numPr>
              <w:jc w:val="both"/>
            </w:pPr>
            <w:r>
              <w:t>risk sharing valuation studies;</w:t>
            </w:r>
          </w:p>
          <w:p w14:paraId="11340421" w14:textId="77777777" w:rsidR="007F70D3" w:rsidRDefault="00985533" w:rsidP="0019429B">
            <w:pPr>
              <w:pStyle w:val="Header"/>
              <w:numPr>
                <w:ilvl w:val="1"/>
                <w:numId w:val="3"/>
              </w:numPr>
              <w:jc w:val="both"/>
            </w:pPr>
            <w:r>
              <w:t>initial risk sharing valuation studies and the corridor midpoint;</w:t>
            </w:r>
          </w:p>
          <w:p w14:paraId="138F2887" w14:textId="77777777" w:rsidR="007F70D3" w:rsidRDefault="00985533" w:rsidP="0019429B">
            <w:pPr>
              <w:pStyle w:val="Header"/>
              <w:numPr>
                <w:ilvl w:val="1"/>
                <w:numId w:val="3"/>
              </w:numPr>
              <w:jc w:val="both"/>
            </w:pPr>
            <w:r>
              <w:t>actuarial experience studies;</w:t>
            </w:r>
          </w:p>
          <w:p w14:paraId="761281E8" w14:textId="77777777" w:rsidR="007F70D3" w:rsidRDefault="00985533" w:rsidP="0019429B">
            <w:pPr>
              <w:pStyle w:val="Header"/>
              <w:numPr>
                <w:ilvl w:val="1"/>
                <w:numId w:val="3"/>
              </w:numPr>
              <w:jc w:val="both"/>
            </w:pPr>
            <w:r>
              <w:t>the municipal contribution rate when the estimated municipal contribution rate is lower than the corridor midpoint and authorizations for certain adjustments; and</w:t>
            </w:r>
          </w:p>
          <w:p w14:paraId="2BFC46C9" w14:textId="2BDDABD5" w:rsidR="00F85E0C" w:rsidRDefault="00985533" w:rsidP="0019429B">
            <w:pPr>
              <w:pStyle w:val="Header"/>
              <w:numPr>
                <w:ilvl w:val="1"/>
                <w:numId w:val="3"/>
              </w:numPr>
              <w:jc w:val="both"/>
            </w:pPr>
            <w:r>
              <w:t>the municipal contribution rate when the estimated municipal contribution rate is equal to or greater than the corridor midpoint and authorizations for certain adjustments;</w:t>
            </w:r>
          </w:p>
          <w:p w14:paraId="35F99516" w14:textId="3F4718BE" w:rsidR="00AC1E1A" w:rsidRDefault="00985533" w:rsidP="0019429B">
            <w:pPr>
              <w:pStyle w:val="Header"/>
              <w:numPr>
                <w:ilvl w:val="0"/>
                <w:numId w:val="3"/>
              </w:numPr>
              <w:tabs>
                <w:tab w:val="clear" w:pos="4320"/>
                <w:tab w:val="clear" w:pos="8640"/>
              </w:tabs>
              <w:jc w:val="both"/>
            </w:pPr>
            <w:r>
              <w:t xml:space="preserve">replaces a provision </w:t>
            </w:r>
            <w:r w:rsidR="00E43002">
              <w:t>entitling a</w:t>
            </w:r>
            <w:r>
              <w:t xml:space="preserve"> member who was hired or rehired as a firefighter on or after the year 2017 effective date and who terminates active service for any reason other than death to receive a service pension when the sum of the member's age in years and the member's years of participation in the fund equals at least 70 with a provision entitling </w:t>
            </w:r>
            <w:r w:rsidR="00993D9D">
              <w:t xml:space="preserve">instead </w:t>
            </w:r>
            <w:r>
              <w:t>such a member to receive a service pension at the age at which the member attains 20 years of service;</w:t>
            </w:r>
          </w:p>
          <w:p w14:paraId="1AA4E5A6" w14:textId="711E9031" w:rsidR="00485D1F" w:rsidRDefault="00985533" w:rsidP="0019429B">
            <w:pPr>
              <w:pStyle w:val="Header"/>
              <w:numPr>
                <w:ilvl w:val="0"/>
                <w:numId w:val="3"/>
              </w:numPr>
              <w:tabs>
                <w:tab w:val="clear" w:pos="4320"/>
                <w:tab w:val="clear" w:pos="8640"/>
              </w:tabs>
              <w:jc w:val="both"/>
            </w:pPr>
            <w:r>
              <w:t xml:space="preserve">revises provisions relating to </w:t>
            </w:r>
            <w:r w:rsidRPr="00485D1F">
              <w:t>the DROP</w:t>
            </w:r>
            <w:r>
              <w:t xml:space="preserve"> as follows:</w:t>
            </w:r>
          </w:p>
          <w:p w14:paraId="7CF40535" w14:textId="68EC7FF2" w:rsidR="00485D1F" w:rsidRDefault="00985533" w:rsidP="0019429B">
            <w:pPr>
              <w:pStyle w:val="Header"/>
              <w:numPr>
                <w:ilvl w:val="1"/>
                <w:numId w:val="3"/>
              </w:numPr>
              <w:tabs>
                <w:tab w:val="clear" w:pos="4320"/>
                <w:tab w:val="clear" w:pos="8640"/>
              </w:tabs>
              <w:jc w:val="both"/>
            </w:pPr>
            <w:r>
              <w:t xml:space="preserve">extends the optional election to participate in the </w:t>
            </w:r>
            <w:r w:rsidRPr="00D45970">
              <w:t xml:space="preserve">DROP </w:t>
            </w:r>
            <w:r>
              <w:t>to any member who is eligible to receive a service pension and who remains in active service;</w:t>
            </w:r>
          </w:p>
          <w:p w14:paraId="6DBA48FD" w14:textId="3C8EA947" w:rsidR="00B7217A" w:rsidRDefault="00985533" w:rsidP="0019429B">
            <w:pPr>
              <w:pStyle w:val="Header"/>
              <w:numPr>
                <w:ilvl w:val="1"/>
                <w:numId w:val="3"/>
              </w:numPr>
              <w:tabs>
                <w:tab w:val="clear" w:pos="4320"/>
                <w:tab w:val="clear" w:pos="8640"/>
              </w:tabs>
              <w:jc w:val="both"/>
            </w:pPr>
            <w:r>
              <w:t xml:space="preserve">increases </w:t>
            </w:r>
            <w:r w:rsidR="00516774">
              <w:t xml:space="preserve">at retirement </w:t>
            </w:r>
            <w:r w:rsidR="00203FC0">
              <w:t>t</w:t>
            </w:r>
            <w:r w:rsidR="00203FC0" w:rsidRPr="00203FC0">
              <w:t>he monthly benefit of a DROP participant who had less than 20 years of participation on the year 2017 effective date by one percent of the amount of the member's original benefit for every full year of participation in the DROP by the member for up to 10 years of participation in the DROP</w:t>
            </w:r>
            <w:r w:rsidR="00203FC0">
              <w:t xml:space="preserve"> and</w:t>
            </w:r>
            <w:r>
              <w:t xml:space="preserve"> requires </w:t>
            </w:r>
            <w:r w:rsidR="00731A2B">
              <w:t xml:space="preserve">the </w:t>
            </w:r>
            <w:r>
              <w:t xml:space="preserve">member to receive, </w:t>
            </w:r>
            <w:r w:rsidR="00203FC0">
              <w:t>f</w:t>
            </w:r>
            <w:r w:rsidR="00203FC0" w:rsidRPr="00203FC0">
              <w:t xml:space="preserve">or </w:t>
            </w:r>
            <w:r>
              <w:t>the</w:t>
            </w:r>
            <w:r w:rsidR="00203FC0" w:rsidRPr="00203FC0">
              <w:t xml:space="preserve"> member's final year of participation, but not beyond the member's 10th year in the DROP, a prorated increase of 0.083 percent of the member's original benefit for each month of participation in </w:t>
            </w:r>
            <w:r>
              <w:t>a</w:t>
            </w:r>
            <w:r w:rsidR="00203FC0" w:rsidRPr="00203FC0">
              <w:t xml:space="preserve"> year</w:t>
            </w:r>
            <w:r>
              <w:t xml:space="preserve"> in which </w:t>
            </w:r>
            <w:r w:rsidRPr="00B7217A">
              <w:t>a full year of participation is not completed</w:t>
            </w:r>
            <w:r w:rsidR="00203FC0">
              <w:t>;</w:t>
            </w:r>
          </w:p>
          <w:p w14:paraId="0850DDC6" w14:textId="5B67D96C" w:rsidR="00485D1F" w:rsidRDefault="00985533" w:rsidP="0019429B">
            <w:pPr>
              <w:pStyle w:val="Header"/>
              <w:numPr>
                <w:ilvl w:val="1"/>
                <w:numId w:val="3"/>
              </w:numPr>
              <w:tabs>
                <w:tab w:val="clear" w:pos="4320"/>
                <w:tab w:val="clear" w:pos="8640"/>
              </w:tabs>
              <w:jc w:val="both"/>
            </w:pPr>
            <w:r>
              <w:t>subjects th</w:t>
            </w:r>
            <w:r w:rsidR="00B7217A">
              <w:t>at</w:t>
            </w:r>
            <w:r>
              <w:t xml:space="preserve"> monthly benefit increase to the same applicability </w:t>
            </w:r>
            <w:r w:rsidR="004B4B82">
              <w:t>limitations</w:t>
            </w:r>
            <w:r w:rsidR="00551AB4">
              <w:t xml:space="preserve"> that</w:t>
            </w:r>
            <w:r>
              <w:t xml:space="preserve"> the </w:t>
            </w:r>
            <w:r w:rsidR="00E4333B">
              <w:t>existing</w:t>
            </w:r>
            <w:r>
              <w:t xml:space="preserve"> monthly benefit increase for </w:t>
            </w:r>
            <w:r w:rsidRPr="00516774">
              <w:t>DROP participant</w:t>
            </w:r>
            <w:r>
              <w:t>s</w:t>
            </w:r>
            <w:r w:rsidRPr="00516774">
              <w:t xml:space="preserve"> </w:t>
            </w:r>
            <w:r>
              <w:t>with</w:t>
            </w:r>
            <w:r w:rsidRPr="00516774">
              <w:t xml:space="preserve"> at least 20 years of participation on the year 2017 effective date</w:t>
            </w:r>
            <w:r w:rsidR="00551AB4">
              <w:t xml:space="preserve"> is subject to</w:t>
            </w:r>
            <w:r>
              <w:t xml:space="preserve">, except that </w:t>
            </w:r>
            <w:r w:rsidR="00551AB4">
              <w:t>t</w:t>
            </w:r>
            <w:r w:rsidR="00B7217A" w:rsidRPr="00B7217A">
              <w:t>he total increase</w:t>
            </w:r>
            <w:r w:rsidR="00551AB4">
              <w:t xml:space="preserve"> for the </w:t>
            </w:r>
            <w:r w:rsidR="00551AB4" w:rsidRPr="00551AB4">
              <w:t>new monthly benefit</w:t>
            </w:r>
            <w:r w:rsidR="00B7217A" w:rsidRPr="00B7217A">
              <w:t xml:space="preserve"> </w:t>
            </w:r>
            <w:r w:rsidR="00FC07EC">
              <w:t xml:space="preserve">increase </w:t>
            </w:r>
            <w:r w:rsidR="00B7217A" w:rsidRPr="00B7217A">
              <w:t>may not exceed 10 percent for 10 years of participation in the DROP by the member</w:t>
            </w:r>
            <w:r w:rsidR="00551AB4">
              <w:t>;</w:t>
            </w:r>
            <w:r w:rsidR="00E4333B">
              <w:t xml:space="preserve"> and</w:t>
            </w:r>
          </w:p>
          <w:p w14:paraId="60844549" w14:textId="13285077" w:rsidR="00AC1E1A" w:rsidRDefault="00985533" w:rsidP="0019429B">
            <w:pPr>
              <w:pStyle w:val="Header"/>
              <w:numPr>
                <w:ilvl w:val="1"/>
                <w:numId w:val="3"/>
              </w:numPr>
              <w:tabs>
                <w:tab w:val="clear" w:pos="4320"/>
                <w:tab w:val="clear" w:pos="8640"/>
              </w:tabs>
              <w:jc w:val="both"/>
            </w:pPr>
            <w:r>
              <w:t xml:space="preserve">changes the annual rate at which a member's DROP account is credited with earnings from a rate equal to 65 percent of the compounded average </w:t>
            </w:r>
            <w:r w:rsidRPr="00ED1486">
              <w:t xml:space="preserve">annual return </w:t>
            </w:r>
            <w:r>
              <w:t xml:space="preserve">earned by the fund over a certain period to a rate equal to 75 percent of the average </w:t>
            </w:r>
            <w:r w:rsidRPr="00ED1486">
              <w:t xml:space="preserve">annual return </w:t>
            </w:r>
            <w:r>
              <w:t>earned by the fund over that period;</w:t>
            </w:r>
          </w:p>
          <w:p w14:paraId="4D285427" w14:textId="79827C4E" w:rsidR="00E41EEE" w:rsidRDefault="00985533" w:rsidP="0019429B">
            <w:pPr>
              <w:pStyle w:val="Header"/>
              <w:numPr>
                <w:ilvl w:val="0"/>
                <w:numId w:val="3"/>
              </w:numPr>
              <w:tabs>
                <w:tab w:val="clear" w:pos="4320"/>
                <w:tab w:val="clear" w:pos="8640"/>
              </w:tabs>
              <w:jc w:val="both"/>
            </w:pPr>
            <w:r>
              <w:t>removes from provisions providing for a deferred pension at age 50 and for a refund of contributions a specification that those provisions apply only to a member who is hired or rehired before, on, or after the year 2017 effective date, as applicable</w:t>
            </w:r>
            <w:r w:rsidR="00485D1F">
              <w:t>;</w:t>
            </w:r>
          </w:p>
          <w:p w14:paraId="2FDF59AC" w14:textId="6C12397A" w:rsidR="00F3631E" w:rsidRDefault="00985533" w:rsidP="0019429B">
            <w:pPr>
              <w:pStyle w:val="Header"/>
              <w:numPr>
                <w:ilvl w:val="0"/>
                <w:numId w:val="3"/>
              </w:numPr>
              <w:tabs>
                <w:tab w:val="clear" w:pos="4320"/>
                <w:tab w:val="clear" w:pos="8640"/>
              </w:tabs>
              <w:jc w:val="both"/>
            </w:pPr>
            <w:r>
              <w:t xml:space="preserve">for purposes of </w:t>
            </w:r>
            <w:r w:rsidRPr="00A6503D">
              <w:t>computing a member's years of participation</w:t>
            </w:r>
            <w:r>
              <w:t xml:space="preserve">, </w:t>
            </w:r>
            <w:r w:rsidR="000405FD">
              <w:t xml:space="preserve">extends </w:t>
            </w:r>
            <w:r>
              <w:t xml:space="preserve">the timeframe within which </w:t>
            </w:r>
            <w:r w:rsidRPr="00A6503D">
              <w:t>a member</w:t>
            </w:r>
            <w:r>
              <w:t xml:space="preserve"> must</w:t>
            </w:r>
            <w:r w:rsidRPr="00A6503D">
              <w:t xml:space="preserve"> return to active service as a firefighter</w:t>
            </w:r>
            <w:r>
              <w:t xml:space="preserve"> to receive credit for applicable prior service from </w:t>
            </w:r>
            <w:r w:rsidR="006511B7">
              <w:t xml:space="preserve">before </w:t>
            </w:r>
            <w:r w:rsidRPr="00A6503D">
              <w:t xml:space="preserve">the fifth anniversary of a previous effective date of termination to </w:t>
            </w:r>
            <w:r w:rsidR="006511B7">
              <w:t xml:space="preserve">before </w:t>
            </w:r>
            <w:r w:rsidRPr="00A6503D">
              <w:t xml:space="preserve">the </w:t>
            </w:r>
            <w:r w:rsidR="00FE1696">
              <w:t>10th</w:t>
            </w:r>
            <w:r w:rsidR="00FE1696" w:rsidRPr="00A6503D">
              <w:t xml:space="preserve"> </w:t>
            </w:r>
            <w:r w:rsidRPr="00A6503D">
              <w:t>anniversary of that date</w:t>
            </w:r>
            <w:r w:rsidR="006511B7">
              <w:t>;</w:t>
            </w:r>
          </w:p>
          <w:p w14:paraId="77EBCBB2" w14:textId="77777777" w:rsidR="00C40F80" w:rsidRDefault="00985533" w:rsidP="0019429B">
            <w:pPr>
              <w:pStyle w:val="Header"/>
              <w:numPr>
                <w:ilvl w:val="0"/>
                <w:numId w:val="3"/>
              </w:numPr>
              <w:tabs>
                <w:tab w:val="clear" w:pos="4320"/>
                <w:tab w:val="clear" w:pos="8640"/>
              </w:tabs>
              <w:jc w:val="both"/>
            </w:pPr>
            <w:r>
              <w:t xml:space="preserve">does the following </w:t>
            </w:r>
            <w:r w:rsidR="004B51B4">
              <w:t>for purposes of</w:t>
            </w:r>
            <w:r w:rsidR="00317C42">
              <w:t xml:space="preserve"> the </w:t>
            </w:r>
            <w:r w:rsidR="00317C42" w:rsidRPr="00317C42">
              <w:t>assumptions and methods</w:t>
            </w:r>
            <w:r w:rsidR="00317C42">
              <w:t xml:space="preserve"> on which </w:t>
            </w:r>
            <w:r w:rsidR="00317C42" w:rsidRPr="00317C42">
              <w:t>risk sharing valuation studies</w:t>
            </w:r>
            <w:r w:rsidR="00317C42">
              <w:t xml:space="preserve"> prepared by the </w:t>
            </w:r>
            <w:r w:rsidR="004B51B4" w:rsidRPr="004B51B4">
              <w:t xml:space="preserve">respective actuaries </w:t>
            </w:r>
            <w:r w:rsidR="004B51B4">
              <w:t xml:space="preserve">of the </w:t>
            </w:r>
            <w:r w:rsidR="00317C42">
              <w:t>fun</w:t>
            </w:r>
            <w:r w:rsidR="004B51B4">
              <w:t>d</w:t>
            </w:r>
            <w:r w:rsidR="00317C42">
              <w:t xml:space="preserve"> and the municipality must be based</w:t>
            </w:r>
            <w:r>
              <w:t>:</w:t>
            </w:r>
          </w:p>
          <w:p w14:paraId="41CFD71D" w14:textId="266033C0" w:rsidR="00F71D25" w:rsidRDefault="00985533" w:rsidP="0019429B">
            <w:pPr>
              <w:pStyle w:val="Header"/>
              <w:numPr>
                <w:ilvl w:val="1"/>
                <w:numId w:val="3"/>
              </w:numPr>
              <w:tabs>
                <w:tab w:val="clear" w:pos="4320"/>
                <w:tab w:val="clear" w:pos="8640"/>
              </w:tabs>
              <w:jc w:val="both"/>
            </w:pPr>
            <w:r>
              <w:t xml:space="preserve">replaces </w:t>
            </w:r>
            <w:r w:rsidRPr="0028605B">
              <w:t>an ultimate</w:t>
            </w:r>
            <w:r>
              <w:t xml:space="preserve"> </w:t>
            </w:r>
            <w:r w:rsidRPr="0028605B">
              <w:t>entry age normal actuarial method</w:t>
            </w:r>
            <w:r>
              <w:t xml:space="preserve"> with an entry age </w:t>
            </w:r>
            <w:r w:rsidRPr="0028605B">
              <w:t xml:space="preserve">normal actuarial </w:t>
            </w:r>
            <w:r>
              <w:t xml:space="preserve">cost </w:t>
            </w:r>
            <w:r w:rsidRPr="0028605B">
              <w:t>method</w:t>
            </w:r>
            <w:r>
              <w:t>, as defined by the bill;</w:t>
            </w:r>
          </w:p>
          <w:p w14:paraId="118E8575" w14:textId="071A3124" w:rsidR="0028605B" w:rsidRDefault="00985533" w:rsidP="0019429B">
            <w:pPr>
              <w:pStyle w:val="Header"/>
              <w:numPr>
                <w:ilvl w:val="1"/>
                <w:numId w:val="3"/>
              </w:numPr>
              <w:tabs>
                <w:tab w:val="clear" w:pos="4320"/>
                <w:tab w:val="clear" w:pos="8640"/>
              </w:tabs>
              <w:jc w:val="both"/>
            </w:pPr>
            <w:r>
              <w:t xml:space="preserve">with respect to the assumption that </w:t>
            </w:r>
            <w:r w:rsidRPr="00524647">
              <w:t>each liability loss layer amortized over a period of</w:t>
            </w:r>
            <w:r>
              <w:t xml:space="preserve"> 30</w:t>
            </w:r>
            <w:r w:rsidRPr="00524647">
              <w:t xml:space="preserve"> years from the first day of the fiscal year beginning 12 months after the date of the risk sharing valuation study in which the liability loss layer is first recognized</w:t>
            </w:r>
            <w:r w:rsidR="0072112B">
              <w:t xml:space="preserve"> and the</w:t>
            </w:r>
            <w:r w:rsidRPr="00524647">
              <w:t xml:space="preserve"> except</w:t>
            </w:r>
            <w:r w:rsidR="0072112B">
              <w:t>ion</w:t>
            </w:r>
            <w:r w:rsidRPr="00524647">
              <w:t xml:space="preserve"> that the legacy liability </w:t>
            </w:r>
            <w:r w:rsidR="0047791A">
              <w:t xml:space="preserve">must </w:t>
            </w:r>
            <w:r w:rsidRPr="00524647">
              <w:t>be amortized from July</w:t>
            </w:r>
            <w:r w:rsidR="0083102D">
              <w:t> </w:t>
            </w:r>
            <w:r w:rsidRPr="00524647">
              <w:t>1, 2016, for a 30-year period beginning July 1, 2017</w:t>
            </w:r>
            <w:r>
              <w:t xml:space="preserve">, removes that exception and </w:t>
            </w:r>
            <w:r w:rsidR="00A37D9E">
              <w:t>reduces</w:t>
            </w:r>
            <w:r>
              <w:t xml:space="preserve"> </w:t>
            </w:r>
            <w:r w:rsidR="0072112B">
              <w:t>the 30</w:t>
            </w:r>
            <w:r w:rsidR="00CF3E9F">
              <w:t>-</w:t>
            </w:r>
            <w:r w:rsidR="0072112B">
              <w:t>year</w:t>
            </w:r>
            <w:r>
              <w:t xml:space="preserve"> period </w:t>
            </w:r>
            <w:r w:rsidR="0098242E">
              <w:t xml:space="preserve">to a </w:t>
            </w:r>
            <w:r w:rsidR="0072112B">
              <w:t>15</w:t>
            </w:r>
            <w:r w:rsidR="00CF3E9F">
              <w:t>-</w:t>
            </w:r>
            <w:r w:rsidR="0072112B">
              <w:t xml:space="preserve">year </w:t>
            </w:r>
            <w:r w:rsidR="0098242E">
              <w:t>period;</w:t>
            </w:r>
            <w:r w:rsidR="00E3339E">
              <w:t xml:space="preserve"> and</w:t>
            </w:r>
          </w:p>
          <w:p w14:paraId="491E86DE" w14:textId="19DCC06F" w:rsidR="0098242E" w:rsidRDefault="00985533" w:rsidP="0019429B">
            <w:pPr>
              <w:pStyle w:val="Header"/>
              <w:numPr>
                <w:ilvl w:val="1"/>
                <w:numId w:val="3"/>
              </w:numPr>
              <w:tabs>
                <w:tab w:val="clear" w:pos="4320"/>
                <w:tab w:val="clear" w:pos="8640"/>
              </w:tabs>
              <w:jc w:val="both"/>
            </w:pPr>
            <w:r>
              <w:t>with respect to</w:t>
            </w:r>
            <w:r>
              <w:t xml:space="preserve"> the assumption that </w:t>
            </w:r>
            <w:r w:rsidRPr="0098242E">
              <w:t>the amortization period for each liability gain layer</w:t>
            </w:r>
            <w:r>
              <w:t xml:space="preserve">, </w:t>
            </w:r>
            <w:r w:rsidRPr="0098242E">
              <w:t xml:space="preserve">if there is no liability loss layer, </w:t>
            </w:r>
            <w:r>
              <w:t xml:space="preserve">is </w:t>
            </w:r>
            <w:r w:rsidRPr="0098242E">
              <w:t>a period o</w:t>
            </w:r>
            <w:r>
              <w:t xml:space="preserve">f </w:t>
            </w:r>
            <w:r w:rsidRPr="0098242E">
              <w:t>30</w:t>
            </w:r>
            <w:r>
              <w:t xml:space="preserve"> </w:t>
            </w:r>
            <w:r w:rsidRPr="0098242E">
              <w:t>years from the first day of the fiscal year beginning 12 months after the date of the risk sharing valuation study in which the liability gain layer is first recognized</w:t>
            </w:r>
            <w:r>
              <w:t xml:space="preserve">, </w:t>
            </w:r>
            <w:r w:rsidR="00A37D9E">
              <w:t>reduces</w:t>
            </w:r>
            <w:r>
              <w:t xml:space="preserve"> </w:t>
            </w:r>
            <w:r w:rsidR="00E3339E">
              <w:t>the 30</w:t>
            </w:r>
            <w:r w:rsidR="00CF3E9F">
              <w:t>-</w:t>
            </w:r>
            <w:r w:rsidR="00E3339E">
              <w:t>year</w:t>
            </w:r>
            <w:r w:rsidRPr="002C30A0">
              <w:t xml:space="preserve"> period to a </w:t>
            </w:r>
            <w:r w:rsidR="00E3339E">
              <w:t>15</w:t>
            </w:r>
            <w:r w:rsidR="00CF3E9F">
              <w:t>-</w:t>
            </w:r>
            <w:r w:rsidR="00E3339E">
              <w:t xml:space="preserve">year </w:t>
            </w:r>
            <w:r w:rsidRPr="002C30A0">
              <w:t>period</w:t>
            </w:r>
            <w:r>
              <w:t xml:space="preserve">; </w:t>
            </w:r>
          </w:p>
          <w:p w14:paraId="3014703D" w14:textId="12FC045F" w:rsidR="006511B7" w:rsidRDefault="00985533" w:rsidP="0019429B">
            <w:pPr>
              <w:pStyle w:val="Header"/>
              <w:numPr>
                <w:ilvl w:val="0"/>
                <w:numId w:val="3"/>
              </w:numPr>
              <w:tabs>
                <w:tab w:val="clear" w:pos="4320"/>
                <w:tab w:val="clear" w:pos="8640"/>
              </w:tabs>
              <w:jc w:val="both"/>
            </w:pPr>
            <w:r>
              <w:t xml:space="preserve">authorizes </w:t>
            </w:r>
            <w:r w:rsidRPr="00F71D25">
              <w:t>the board and municipality</w:t>
            </w:r>
            <w:r>
              <w:t xml:space="preserve">, with </w:t>
            </w:r>
            <w:r w:rsidRPr="00F71D25">
              <w:t>respect to any liability loss layer with a payoff year that was accelerated</w:t>
            </w:r>
            <w:r>
              <w:t xml:space="preserve"> </w:t>
            </w:r>
            <w:r w:rsidR="00801082">
              <w:t xml:space="preserve">pursuant to a specified adjustment </w:t>
            </w:r>
            <w:r w:rsidR="00CD2BBE">
              <w:t xml:space="preserve">under </w:t>
            </w:r>
            <w:r w:rsidR="00785CBB">
              <w:t xml:space="preserve">a certain </w:t>
            </w:r>
            <w:r w:rsidR="00CD2BBE">
              <w:t xml:space="preserve">provision governing the </w:t>
            </w:r>
            <w:r w:rsidR="00CD2BBE" w:rsidRPr="00CD2BBE">
              <w:t>municipal contribution rate when</w:t>
            </w:r>
            <w:r w:rsidR="00CD2BBE">
              <w:t xml:space="preserve"> the</w:t>
            </w:r>
            <w:r w:rsidR="00CD2BBE" w:rsidRPr="00CD2BBE">
              <w:t xml:space="preserve"> estimated municipal contribution rate </w:t>
            </w:r>
            <w:r w:rsidR="00CD2BBE">
              <w:t xml:space="preserve">is </w:t>
            </w:r>
            <w:r w:rsidR="00CD2BBE" w:rsidRPr="00CD2BBE">
              <w:t xml:space="preserve">lower than </w:t>
            </w:r>
            <w:r w:rsidR="00CD2BBE">
              <w:t xml:space="preserve">the </w:t>
            </w:r>
            <w:r w:rsidR="00CD2BBE" w:rsidRPr="00CD2BBE">
              <w:t>corridor midpoint</w:t>
            </w:r>
            <w:r w:rsidR="004B51B4" w:rsidRPr="004B51B4">
              <w:t xml:space="preserve">, </w:t>
            </w:r>
            <w:r w:rsidRPr="00F71D25">
              <w:t xml:space="preserve">at any time </w:t>
            </w:r>
            <w:r>
              <w:t xml:space="preserve">to </w:t>
            </w:r>
            <w:r w:rsidRPr="00F71D25">
              <w:t>enter into a written agreement to extend</w:t>
            </w:r>
            <w:r w:rsidR="004B51B4" w:rsidRPr="004B51B4">
              <w:t xml:space="preserve"> the payoff year of the liability loss layer to a payoff year</w:t>
            </w:r>
            <w:r>
              <w:t xml:space="preserve"> that is</w:t>
            </w:r>
            <w:r w:rsidR="004B51B4" w:rsidRPr="004B51B4">
              <w:t xml:space="preserve"> not later than </w:t>
            </w:r>
            <w:r>
              <w:t>15</w:t>
            </w:r>
            <w:r w:rsidRPr="004B51B4">
              <w:t xml:space="preserve"> </w:t>
            </w:r>
            <w:r w:rsidR="004B51B4" w:rsidRPr="004B51B4">
              <w:t>years from the first day of the fiscal year beginning 12 months after the date of the risk sharing valuation study in which the liability loss layer is first recognized;</w:t>
            </w:r>
          </w:p>
          <w:p w14:paraId="7414063B" w14:textId="3510D4D9" w:rsidR="00F3631E" w:rsidRDefault="00985533" w:rsidP="0019429B">
            <w:pPr>
              <w:pStyle w:val="Header"/>
              <w:numPr>
                <w:ilvl w:val="0"/>
                <w:numId w:val="3"/>
              </w:numPr>
              <w:jc w:val="both"/>
            </w:pPr>
            <w:r>
              <w:t>revises</w:t>
            </w:r>
            <w:r w:rsidR="00274B3E">
              <w:t xml:space="preserve"> </w:t>
            </w:r>
            <w:r w:rsidR="00E95ED4">
              <w:t>the</w:t>
            </w:r>
            <w:r w:rsidR="00333375">
              <w:t xml:space="preserve"> authorization for the municipality and the board</w:t>
            </w:r>
            <w:r w:rsidR="00C63B5B">
              <w:t xml:space="preserve"> </w:t>
            </w:r>
            <w:r w:rsidR="00333375">
              <w:t xml:space="preserve">to </w:t>
            </w:r>
            <w:r w:rsidR="00333375" w:rsidRPr="00333375">
              <w:t>agree on a written transition plan for resetting the corridor midpoint</w:t>
            </w:r>
            <w:r w:rsidR="00333375">
              <w:t xml:space="preserve"> </w:t>
            </w:r>
            <w:r w:rsidR="00CF1995">
              <w:t>if at any time the funded ratio is equal to or greater than 100 percent or for any fiscal year after the payoff year of the legacy liability</w:t>
            </w:r>
            <w:r w:rsidR="00274B3E">
              <w:t xml:space="preserve"> by also authorizing the municipality and the board to </w:t>
            </w:r>
            <w:r w:rsidR="007305D2">
              <w:t>agree on such a plan</w:t>
            </w:r>
            <w:r w:rsidR="00274B3E">
              <w:t xml:space="preserve"> </w:t>
            </w:r>
            <w:r w:rsidR="00274B3E" w:rsidRPr="00274B3E">
              <w:t xml:space="preserve">on a one-time basis other than </w:t>
            </w:r>
            <w:r w:rsidR="00274B3E">
              <w:t>one of those</w:t>
            </w:r>
            <w:r w:rsidR="00274B3E" w:rsidRPr="00274B3E">
              <w:t xml:space="preserve"> time</w:t>
            </w:r>
            <w:r w:rsidR="00274B3E">
              <w:t>s</w:t>
            </w:r>
            <w:r w:rsidR="00CF1995">
              <w:t>;</w:t>
            </w:r>
            <w:r w:rsidR="00333375">
              <w:t xml:space="preserve"> </w:t>
            </w:r>
          </w:p>
          <w:p w14:paraId="2515254E" w14:textId="31177320" w:rsidR="00B0071A" w:rsidRDefault="00985533" w:rsidP="0019429B">
            <w:pPr>
              <w:pStyle w:val="Header"/>
              <w:numPr>
                <w:ilvl w:val="0"/>
                <w:numId w:val="3"/>
              </w:numPr>
              <w:jc w:val="both"/>
            </w:pPr>
            <w:r>
              <w:t xml:space="preserve">revises the provision that </w:t>
            </w:r>
            <w:r w:rsidRPr="00E57CAA">
              <w:t>governs the determination of the municipal contribution rate applicable in a fiscal year if the estimated municipal contribution rate is lower than the corridor midpoint</w:t>
            </w:r>
            <w:r w:rsidR="00C91990">
              <w:t>, specifically for</w:t>
            </w:r>
            <w:r w:rsidR="00C91990" w:rsidRPr="00C91990">
              <w:t xml:space="preserve"> a funded ratio that is equal to or greater than 90 percent with a municipal contribution rate less than the minimum contribution rate for the corresponding fiscal year</w:t>
            </w:r>
            <w:r w:rsidR="00054CB7">
              <w:t xml:space="preserve">, </w:t>
            </w:r>
            <w:r>
              <w:t>in the following manner:</w:t>
            </w:r>
          </w:p>
          <w:p w14:paraId="420AA10D" w14:textId="6D228B9A" w:rsidR="00E57CAA" w:rsidRDefault="00985533" w:rsidP="0019429B">
            <w:pPr>
              <w:pStyle w:val="Header"/>
              <w:numPr>
                <w:ilvl w:val="1"/>
                <w:numId w:val="3"/>
              </w:numPr>
              <w:jc w:val="both"/>
            </w:pPr>
            <w:r>
              <w:t xml:space="preserve">replaces a requirement for four specified adjustments to be applied sequentially to the extent required </w:t>
            </w:r>
            <w:r w:rsidRPr="008E6F04">
              <w:t>to increase the estimated municipal contribution rate to equal the minimum contribution rate</w:t>
            </w:r>
            <w:r>
              <w:t xml:space="preserve"> with an authorization for those adjustments</w:t>
            </w:r>
            <w:r w:rsidR="00DE6E4D">
              <w:t xml:space="preserve"> </w:t>
            </w:r>
            <w:r>
              <w:t xml:space="preserve">to be applied sequentially to make that same increase; </w:t>
            </w:r>
            <w:r w:rsidR="00C91990">
              <w:t>and</w:t>
            </w:r>
          </w:p>
          <w:p w14:paraId="1661FCB3" w14:textId="3FB6C9AC" w:rsidR="008E6F04" w:rsidRDefault="00985533" w:rsidP="0019429B">
            <w:pPr>
              <w:pStyle w:val="Header"/>
              <w:numPr>
                <w:ilvl w:val="1"/>
                <w:numId w:val="3"/>
              </w:numPr>
              <w:jc w:val="both"/>
            </w:pPr>
            <w:r>
              <w:t xml:space="preserve">makes the </w:t>
            </w:r>
            <w:r w:rsidR="00DD39E2">
              <w:t>existing</w:t>
            </w:r>
            <w:r>
              <w:t xml:space="preserve"> specification that</w:t>
            </w:r>
            <w:r w:rsidRPr="00DE6E4D">
              <w:t xml:space="preserve"> the</w:t>
            </w:r>
            <w:r>
              <w:t xml:space="preserve"> </w:t>
            </w:r>
            <w:r w:rsidR="00D90997">
              <w:t xml:space="preserve">second </w:t>
            </w:r>
            <w:r w:rsidRPr="00DE6E4D">
              <w:t>and</w:t>
            </w:r>
            <w:r>
              <w:t xml:space="preserve"> </w:t>
            </w:r>
            <w:r w:rsidR="00D90997">
              <w:t>third</w:t>
            </w:r>
            <w:r w:rsidRPr="00DE6E4D">
              <w:t xml:space="preserve"> adjustments</w:t>
            </w:r>
            <w:r>
              <w:t xml:space="preserve"> be made under</w:t>
            </w:r>
            <w:r w:rsidRPr="00DE6E4D">
              <w:t xml:space="preserve"> </w:t>
            </w:r>
            <w:r>
              <w:t xml:space="preserve">a </w:t>
            </w:r>
            <w:r w:rsidRPr="00DE6E4D">
              <w:t xml:space="preserve">written agreement between the municipality and board entered into not later than April 30 </w:t>
            </w:r>
            <w:r w:rsidRPr="00DE6E4D">
              <w:t>before the first day of the next fiscal year</w:t>
            </w:r>
            <w:r w:rsidR="00A14424">
              <w:t xml:space="preserve"> </w:t>
            </w:r>
            <w:r>
              <w:t xml:space="preserve">applicable </w:t>
            </w:r>
            <w:r w:rsidR="00A14424" w:rsidRPr="00A14424">
              <w:t xml:space="preserve">also </w:t>
            </w:r>
            <w:r>
              <w:t>to the first and fourth adjustments</w:t>
            </w:r>
            <w:r w:rsidR="00E57CAA">
              <w:t>;</w:t>
            </w:r>
          </w:p>
          <w:p w14:paraId="4EB9A431" w14:textId="4548A88C" w:rsidR="006058AF" w:rsidRDefault="00985533" w:rsidP="0019429B">
            <w:pPr>
              <w:pStyle w:val="Header"/>
              <w:numPr>
                <w:ilvl w:val="0"/>
                <w:numId w:val="3"/>
              </w:numPr>
              <w:jc w:val="both"/>
            </w:pPr>
            <w:r>
              <w:t xml:space="preserve">repeals provisions that authorize </w:t>
            </w:r>
            <w:r w:rsidR="00BC599B">
              <w:t>certain</w:t>
            </w:r>
            <w:r>
              <w:t xml:space="preserve"> member</w:t>
            </w:r>
            <w:r w:rsidR="00BC599B">
              <w:t>s</w:t>
            </w:r>
            <w:r>
              <w:t xml:space="preserve"> </w:t>
            </w:r>
            <w:r w:rsidR="00BC599B">
              <w:t>and beneficiaries</w:t>
            </w:r>
            <w:r>
              <w:t xml:space="preserve"> to appeal</w:t>
            </w:r>
            <w:r w:rsidR="00822D70">
              <w:t xml:space="preserve"> on the basis of rejection of a claim or of the amount allowed</w:t>
            </w:r>
            <w:r>
              <w:t xml:space="preserve"> a decision or order of the board and </w:t>
            </w:r>
            <w:r w:rsidR="00BC599B">
              <w:t>that</w:t>
            </w:r>
            <w:r>
              <w:t xml:space="preserve"> set out procedure</w:t>
            </w:r>
            <w:r w:rsidR="00BC599B">
              <w:t>s and notice requirements</w:t>
            </w:r>
            <w:r>
              <w:t xml:space="preserve"> for such an appeal; </w:t>
            </w:r>
          </w:p>
          <w:p w14:paraId="42DCB887" w14:textId="0D746640" w:rsidR="006058AF" w:rsidRDefault="00985533" w:rsidP="0019429B">
            <w:pPr>
              <w:pStyle w:val="Header"/>
              <w:numPr>
                <w:ilvl w:val="0"/>
                <w:numId w:val="3"/>
              </w:numPr>
              <w:jc w:val="both"/>
            </w:pPr>
            <w:r>
              <w:t>repeals the provision that prohibits the following</w:t>
            </w:r>
            <w:r w:rsidR="00E92BDC">
              <w:t>,</w:t>
            </w:r>
            <w:r>
              <w:t xml:space="preserve"> with respect to a </w:t>
            </w:r>
            <w:r w:rsidRPr="00D86625">
              <w:t>post-retirement option plan</w:t>
            </w:r>
            <w:r>
              <w:t xml:space="preserve"> (PROP)</w:t>
            </w:r>
            <w:r w:rsidR="00E92BDC">
              <w:t>,</w:t>
            </w:r>
            <w:r>
              <w:t xml:space="preserve"> on or after the year 2017 effective date:</w:t>
            </w:r>
          </w:p>
          <w:p w14:paraId="08B8322A" w14:textId="00A32255" w:rsidR="006058AF" w:rsidRDefault="00985533" w:rsidP="0019429B">
            <w:pPr>
              <w:pStyle w:val="Header"/>
              <w:numPr>
                <w:ilvl w:val="1"/>
                <w:numId w:val="3"/>
              </w:numPr>
              <w:jc w:val="both"/>
            </w:pPr>
            <w:r>
              <w:t xml:space="preserve">a PROP participant from having any additional amounts that the participant would otherwise receive as a monthly service pension or other benefits </w:t>
            </w:r>
            <w:r w:rsidRPr="007A334D">
              <w:t>under provisions</w:t>
            </w:r>
            <w:r>
              <w:t xml:space="preserve"> governing the fund credited to the participant's PROP account; and</w:t>
            </w:r>
          </w:p>
          <w:p w14:paraId="076DD885" w14:textId="0D68CFE7" w:rsidR="006058AF" w:rsidRDefault="00985533" w:rsidP="0019429B">
            <w:pPr>
              <w:pStyle w:val="Header"/>
              <w:numPr>
                <w:ilvl w:val="1"/>
                <w:numId w:val="3"/>
              </w:numPr>
              <w:jc w:val="both"/>
            </w:pPr>
            <w:r>
              <w:t>a person, including a member or surviving spouse, from electing to participate in the PROP; and</w:t>
            </w:r>
          </w:p>
          <w:p w14:paraId="2E8FDE2D" w14:textId="08FC8D2A" w:rsidR="00C67DBD" w:rsidRDefault="00985533" w:rsidP="0019429B">
            <w:pPr>
              <w:pStyle w:val="Header"/>
              <w:numPr>
                <w:ilvl w:val="0"/>
                <w:numId w:val="3"/>
              </w:numPr>
              <w:jc w:val="both"/>
            </w:pPr>
            <w:r>
              <w:t xml:space="preserve">repeals </w:t>
            </w:r>
            <w:r w:rsidRPr="00C67DBD">
              <w:t>the provision expressly establishing that nothing in</w:t>
            </w:r>
            <w:r w:rsidR="00800030">
              <w:t xml:space="preserve"> provisions </w:t>
            </w:r>
            <w:r w:rsidR="00003963">
              <w:t>governing</w:t>
            </w:r>
            <w:r w:rsidR="00800030">
              <w:t xml:space="preserve"> the fund</w:t>
            </w:r>
            <w:r w:rsidRPr="00C67DBD">
              <w:t>,</w:t>
            </w:r>
            <w:r w:rsidR="00003963">
              <w:t xml:space="preserve"> </w:t>
            </w:r>
            <w:r w:rsidRPr="00C67DBD">
              <w:t>including the powers set out with respect to the board's management of the fund, the</w:t>
            </w:r>
            <w:r w:rsidR="00402E23">
              <w:t xml:space="preserve"> final and binding status of certain rules, policies, and procedures adopted by the board,</w:t>
            </w:r>
            <w:r w:rsidRPr="00C67DBD">
              <w:t xml:space="preserve"> and any authority of the board to construe and interpret </w:t>
            </w:r>
            <w:r w:rsidR="00402E23" w:rsidRPr="00402E23">
              <w:t>provisions governing the fund</w:t>
            </w:r>
            <w:r w:rsidRPr="00C67DBD">
              <w:t xml:space="preserve">, to determine any fact, to take any action, or to interpret any terms used in the applicable provisions, may alter or change </w:t>
            </w:r>
            <w:r w:rsidR="00800030" w:rsidRPr="00800030">
              <w:t>provisions relating to the following</w:t>
            </w:r>
            <w:r>
              <w:t>:</w:t>
            </w:r>
          </w:p>
          <w:p w14:paraId="0717C124" w14:textId="77777777" w:rsidR="00C67DBD" w:rsidRDefault="00985533" w:rsidP="0019429B">
            <w:pPr>
              <w:pStyle w:val="Header"/>
              <w:numPr>
                <w:ilvl w:val="1"/>
                <w:numId w:val="3"/>
              </w:numPr>
              <w:jc w:val="both"/>
            </w:pPr>
            <w:r w:rsidRPr="00C67DBD">
              <w:t>municipal contributions</w:t>
            </w:r>
            <w:r>
              <w:t>;</w:t>
            </w:r>
          </w:p>
          <w:p w14:paraId="355923DF" w14:textId="77777777" w:rsidR="00C67DBD" w:rsidRDefault="00985533" w:rsidP="0019429B">
            <w:pPr>
              <w:pStyle w:val="Header"/>
              <w:numPr>
                <w:ilvl w:val="1"/>
                <w:numId w:val="3"/>
              </w:numPr>
              <w:jc w:val="both"/>
            </w:pPr>
            <w:r w:rsidRPr="00C67DBD">
              <w:t>risk sharing valuation studies</w:t>
            </w:r>
            <w:r>
              <w:t>;</w:t>
            </w:r>
          </w:p>
          <w:p w14:paraId="37C1F8C8" w14:textId="77777777" w:rsidR="00C67DBD" w:rsidRDefault="00985533" w:rsidP="0019429B">
            <w:pPr>
              <w:pStyle w:val="Header"/>
              <w:numPr>
                <w:ilvl w:val="1"/>
                <w:numId w:val="3"/>
              </w:numPr>
              <w:jc w:val="both"/>
            </w:pPr>
            <w:r w:rsidRPr="00C67DBD">
              <w:t>initial risk sharing valuation studies and the corridor midpoint</w:t>
            </w:r>
            <w:r>
              <w:t>;</w:t>
            </w:r>
          </w:p>
          <w:p w14:paraId="2771D12C" w14:textId="77777777" w:rsidR="00C67DBD" w:rsidRDefault="00985533" w:rsidP="0019429B">
            <w:pPr>
              <w:pStyle w:val="Header"/>
              <w:numPr>
                <w:ilvl w:val="1"/>
                <w:numId w:val="3"/>
              </w:numPr>
              <w:jc w:val="both"/>
            </w:pPr>
            <w:r w:rsidRPr="00C67DBD">
              <w:t>actuarial experience studies</w:t>
            </w:r>
            <w:r>
              <w:t>;</w:t>
            </w:r>
          </w:p>
          <w:p w14:paraId="14E75DA0" w14:textId="22D1E785" w:rsidR="00C67DBD" w:rsidRDefault="00985533" w:rsidP="0019429B">
            <w:pPr>
              <w:pStyle w:val="Header"/>
              <w:numPr>
                <w:ilvl w:val="1"/>
                <w:numId w:val="3"/>
              </w:numPr>
              <w:jc w:val="both"/>
            </w:pPr>
            <w:r w:rsidRPr="00C67DBD">
              <w:t xml:space="preserve">the municipal contribution rate when the estimated municipal contribution rate is lower than the corridor midpoint </w:t>
            </w:r>
            <w:r w:rsidR="007F70D3">
              <w:t xml:space="preserve">and </w:t>
            </w:r>
            <w:r w:rsidRPr="00C67DBD">
              <w:t>authorizations for certain adjustments</w:t>
            </w:r>
            <w:r w:rsidR="007F70D3">
              <w:t>; and</w:t>
            </w:r>
          </w:p>
          <w:p w14:paraId="033B98B1" w14:textId="7A19B287" w:rsidR="005447ED" w:rsidRDefault="00985533" w:rsidP="0019429B">
            <w:pPr>
              <w:pStyle w:val="ListParagraph"/>
              <w:numPr>
                <w:ilvl w:val="1"/>
                <w:numId w:val="3"/>
              </w:numPr>
            </w:pPr>
            <w:r w:rsidRPr="007F70D3">
              <w:t>the municipal contribution rate when the estimated municipal contribution rate is</w:t>
            </w:r>
            <w:r>
              <w:t xml:space="preserve"> </w:t>
            </w:r>
            <w:r w:rsidRPr="007F70D3">
              <w:t xml:space="preserve">equal to </w:t>
            </w:r>
            <w:r w:rsidRPr="007F70D3">
              <w:t>or greater than the corridor midpoint and authorizations for certain adjustments</w:t>
            </w:r>
            <w:r w:rsidR="006058AF">
              <w:t>.</w:t>
            </w:r>
          </w:p>
          <w:p w14:paraId="087C6DC2" w14:textId="77777777" w:rsidR="00FC35F7" w:rsidRDefault="00FC35F7" w:rsidP="0019429B">
            <w:pPr>
              <w:pStyle w:val="Header"/>
              <w:tabs>
                <w:tab w:val="clear" w:pos="4320"/>
                <w:tab w:val="clear" w:pos="8640"/>
              </w:tabs>
              <w:jc w:val="both"/>
            </w:pPr>
          </w:p>
          <w:p w14:paraId="24EE3842" w14:textId="0F76CEFD" w:rsidR="00E87710" w:rsidRDefault="00985533" w:rsidP="0019429B">
            <w:pPr>
              <w:pStyle w:val="Header"/>
              <w:tabs>
                <w:tab w:val="clear" w:pos="4320"/>
                <w:tab w:val="clear" w:pos="8640"/>
              </w:tabs>
              <w:jc w:val="both"/>
            </w:pPr>
            <w:r>
              <w:t xml:space="preserve">C.S.H.B. 2688 </w:t>
            </w:r>
            <w:r w:rsidR="00214C34">
              <w:t>establishes</w:t>
            </w:r>
            <w:r>
              <w:t xml:space="preserve"> the following </w:t>
            </w:r>
            <w:r w:rsidR="0093377F">
              <w:t>for</w:t>
            </w:r>
            <w:r>
              <w:t xml:space="preserve"> </w:t>
            </w:r>
            <w:r w:rsidR="0093377F">
              <w:t>purposes of</w:t>
            </w:r>
            <w:r>
              <w:t xml:space="preserve"> the bill's provisions:</w:t>
            </w:r>
          </w:p>
          <w:p w14:paraId="0BC4E70D" w14:textId="6932B8FA" w:rsidR="001454BA" w:rsidRDefault="00985533" w:rsidP="0019429B">
            <w:pPr>
              <w:pStyle w:val="Header"/>
              <w:numPr>
                <w:ilvl w:val="0"/>
                <w:numId w:val="5"/>
              </w:numPr>
              <w:jc w:val="both"/>
            </w:pPr>
            <w:r>
              <w:t xml:space="preserve">the bill's provisions </w:t>
            </w:r>
            <w:r w:rsidR="006217D6">
              <w:t>relating</w:t>
            </w:r>
            <w:r>
              <w:t xml:space="preserve"> to the normal retirement age </w:t>
            </w:r>
            <w:r w:rsidR="007839C7">
              <w:t>and to</w:t>
            </w:r>
            <w:r w:rsidR="006217D6">
              <w:t xml:space="preserve"> </w:t>
            </w:r>
            <w:r w:rsidR="00F86A3F">
              <w:t xml:space="preserve">the </w:t>
            </w:r>
            <w:r w:rsidR="006217D6" w:rsidRPr="006217D6">
              <w:t>entitl</w:t>
            </w:r>
            <w:r w:rsidR="006217D6">
              <w:t xml:space="preserve">ement </w:t>
            </w:r>
            <w:r w:rsidR="00F86A3F">
              <w:t xml:space="preserve">to receive a service pension </w:t>
            </w:r>
            <w:r w:rsidR="006217D6">
              <w:t>for</w:t>
            </w:r>
            <w:r w:rsidR="006217D6" w:rsidRPr="006217D6">
              <w:t xml:space="preserve"> a member who was hired or rehired as a firefighter on or after the year 2017 effective date</w:t>
            </w:r>
            <w:r>
              <w:t xml:space="preserve"> apply to a member who retires on or after the </w:t>
            </w:r>
            <w:r w:rsidR="00F86A3F">
              <w:t xml:space="preserve">bill's </w:t>
            </w:r>
            <w:r>
              <w:t>effective date</w:t>
            </w:r>
            <w:r w:rsidR="00F86A3F">
              <w:t>;</w:t>
            </w:r>
          </w:p>
          <w:p w14:paraId="4E0BACAD" w14:textId="63BEA66C" w:rsidR="001454BA" w:rsidRDefault="00985533" w:rsidP="0019429B">
            <w:pPr>
              <w:pStyle w:val="Header"/>
              <w:numPr>
                <w:ilvl w:val="0"/>
                <w:numId w:val="5"/>
              </w:numPr>
              <w:jc w:val="both"/>
            </w:pPr>
            <w:r>
              <w:t>the bill's provisions relating to the DROP apply to a member who participates in the DROP on or after the bill's effective date regardless of whether the member began participation in the plan before, on, or after the bill's effective date;</w:t>
            </w:r>
            <w:r w:rsidR="00FC35F7">
              <w:t xml:space="preserve"> and</w:t>
            </w:r>
          </w:p>
          <w:p w14:paraId="61F76661" w14:textId="08A41DAC" w:rsidR="008F0A93" w:rsidRDefault="00985533" w:rsidP="0019429B">
            <w:pPr>
              <w:pStyle w:val="Header"/>
              <w:numPr>
                <w:ilvl w:val="0"/>
                <w:numId w:val="5"/>
              </w:numPr>
              <w:jc w:val="both"/>
            </w:pPr>
            <w:r>
              <w:t xml:space="preserve">with respect to the bill's provisions </w:t>
            </w:r>
            <w:r w:rsidR="00214C34">
              <w:t>relating to</w:t>
            </w:r>
            <w:r>
              <w:t xml:space="preserve"> </w:t>
            </w:r>
            <w:r w:rsidRPr="00730953">
              <w:t>risk sharing valuation studies</w:t>
            </w:r>
            <w:r>
              <w:t>:</w:t>
            </w:r>
          </w:p>
          <w:p w14:paraId="685DE34F" w14:textId="5BEF885D" w:rsidR="001454BA" w:rsidRDefault="00985533" w:rsidP="0019429B">
            <w:pPr>
              <w:pStyle w:val="Header"/>
              <w:numPr>
                <w:ilvl w:val="1"/>
                <w:numId w:val="5"/>
              </w:numPr>
              <w:jc w:val="both"/>
            </w:pPr>
            <w:r>
              <w:t>those provisions</w:t>
            </w:r>
            <w:r w:rsidR="00730953">
              <w:t xml:space="preserve"> </w:t>
            </w:r>
            <w:r>
              <w:t>appl</w:t>
            </w:r>
            <w:r w:rsidR="00730953">
              <w:t xml:space="preserve">y </w:t>
            </w:r>
            <w:r>
              <w:t>only to a risk sharing valuation study conducted after June</w:t>
            </w:r>
            <w:r w:rsidR="0083102D">
              <w:t> </w:t>
            </w:r>
            <w:r>
              <w:t>30, 2026</w:t>
            </w:r>
            <w:r w:rsidR="00730953">
              <w:t>;</w:t>
            </w:r>
          </w:p>
          <w:p w14:paraId="3E9B72E1" w14:textId="59D1E594" w:rsidR="001454BA" w:rsidRDefault="00985533" w:rsidP="0019429B">
            <w:pPr>
              <w:pStyle w:val="Header"/>
              <w:numPr>
                <w:ilvl w:val="1"/>
                <w:numId w:val="5"/>
              </w:numPr>
              <w:jc w:val="both"/>
            </w:pPr>
            <w:r>
              <w:t xml:space="preserve">for purposes of the bill's provisions revising the existing </w:t>
            </w:r>
            <w:r w:rsidRPr="008F0A93">
              <w:t xml:space="preserve">assumption that each liability loss layer amortized over a period of 30 years from the first day of </w:t>
            </w:r>
            <w:r w:rsidRPr="008F0A93">
              <w:t>the fiscal year beginning 12 months after the date of the risk sharing valuation study in which the liability loss layer is first recognized,</w:t>
            </w:r>
            <w:r>
              <w:t xml:space="preserve"> all existing liability loss layers must be re-amortized over a period of 15 years; and</w:t>
            </w:r>
          </w:p>
          <w:p w14:paraId="79808FA1" w14:textId="64613E39" w:rsidR="001454BA" w:rsidRDefault="00985533" w:rsidP="0019429B">
            <w:pPr>
              <w:pStyle w:val="Header"/>
              <w:numPr>
                <w:ilvl w:val="1"/>
                <w:numId w:val="5"/>
              </w:numPr>
              <w:tabs>
                <w:tab w:val="clear" w:pos="4320"/>
                <w:tab w:val="clear" w:pos="8640"/>
              </w:tabs>
              <w:jc w:val="both"/>
            </w:pPr>
            <w:r w:rsidRPr="008F0A93">
              <w:t>for purposes of the bill's provisions relating to</w:t>
            </w:r>
            <w:r>
              <w:t xml:space="preserve"> </w:t>
            </w:r>
            <w:r w:rsidRPr="008F0A93">
              <w:t>the amortization period for each liability gain layer if there is no liability loss layer</w:t>
            </w:r>
            <w:r>
              <w:t>, effective on the first day of the fiscal year beginning 12 months after the date of the first risk sharing valuation study conducted after June 30, 2026, all existing liability gain layers must be re-amortized over a period of 15 years.</w:t>
            </w:r>
          </w:p>
          <w:p w14:paraId="5EE0F543" w14:textId="77777777" w:rsidR="001454BA" w:rsidRPr="00E87710" w:rsidRDefault="001454BA" w:rsidP="0019429B">
            <w:pPr>
              <w:pStyle w:val="Header"/>
              <w:tabs>
                <w:tab w:val="clear" w:pos="4320"/>
                <w:tab w:val="clear" w:pos="8640"/>
              </w:tabs>
              <w:jc w:val="both"/>
            </w:pPr>
          </w:p>
          <w:p w14:paraId="22F1EF4B" w14:textId="306EDEF0" w:rsidR="008423E4" w:rsidRDefault="00985533" w:rsidP="0019429B">
            <w:pPr>
              <w:pStyle w:val="Header"/>
              <w:tabs>
                <w:tab w:val="clear" w:pos="4320"/>
                <w:tab w:val="clear" w:pos="8640"/>
              </w:tabs>
              <w:jc w:val="both"/>
            </w:pPr>
            <w:r>
              <w:t>C.S.H.B.</w:t>
            </w:r>
            <w:r w:rsidR="00E41EEE">
              <w:t xml:space="preserve"> 2688 repeals </w:t>
            </w:r>
            <w:r w:rsidR="004422E2" w:rsidRPr="004422E2">
              <w:t xml:space="preserve">Sections 5A(o), 12, and 13G(a), Article 6243e.2(1), Revised </w:t>
            </w:r>
            <w:r w:rsidR="004422E2">
              <w:t>Statutes.</w:t>
            </w:r>
          </w:p>
          <w:p w14:paraId="014E9778" w14:textId="760FD0EB" w:rsidR="00CD1171" w:rsidRPr="00CD1171" w:rsidRDefault="00CD1171" w:rsidP="0019429B">
            <w:pPr>
              <w:pStyle w:val="Header"/>
              <w:tabs>
                <w:tab w:val="clear" w:pos="4320"/>
                <w:tab w:val="clear" w:pos="8640"/>
              </w:tabs>
              <w:jc w:val="both"/>
            </w:pPr>
          </w:p>
        </w:tc>
      </w:tr>
      <w:tr w:rsidR="00655314" w14:paraId="0DA25FA3" w14:textId="77777777" w:rsidTr="0019429B">
        <w:tc>
          <w:tcPr>
            <w:tcW w:w="9360" w:type="dxa"/>
          </w:tcPr>
          <w:p w14:paraId="3A896D41" w14:textId="77777777" w:rsidR="008423E4" w:rsidRPr="00A8133F" w:rsidRDefault="00985533" w:rsidP="0019429B">
            <w:pPr>
              <w:rPr>
                <w:b/>
              </w:rPr>
            </w:pPr>
            <w:r w:rsidRPr="009C1E9A">
              <w:rPr>
                <w:b/>
                <w:u w:val="single"/>
              </w:rPr>
              <w:t>EFFECTIVE DATE</w:t>
            </w:r>
            <w:r>
              <w:rPr>
                <w:b/>
              </w:rPr>
              <w:t xml:space="preserve"> </w:t>
            </w:r>
          </w:p>
          <w:p w14:paraId="45311F5E" w14:textId="77777777" w:rsidR="008423E4" w:rsidRDefault="008423E4" w:rsidP="0019429B"/>
          <w:p w14:paraId="088D414D" w14:textId="3FE0B5DE" w:rsidR="008423E4" w:rsidRPr="003624F2" w:rsidRDefault="00985533" w:rsidP="0019429B">
            <w:pPr>
              <w:pStyle w:val="Header"/>
              <w:tabs>
                <w:tab w:val="clear" w:pos="4320"/>
                <w:tab w:val="clear" w:pos="8640"/>
              </w:tabs>
              <w:jc w:val="both"/>
            </w:pPr>
            <w:r>
              <w:t>September 1, 2025.</w:t>
            </w:r>
          </w:p>
          <w:p w14:paraId="2E0EECE2" w14:textId="77777777" w:rsidR="008423E4" w:rsidRPr="00233FDB" w:rsidRDefault="008423E4" w:rsidP="0019429B">
            <w:pPr>
              <w:rPr>
                <w:b/>
              </w:rPr>
            </w:pPr>
          </w:p>
        </w:tc>
      </w:tr>
      <w:tr w:rsidR="00655314" w14:paraId="6A33E941" w14:textId="77777777" w:rsidTr="0019429B">
        <w:tc>
          <w:tcPr>
            <w:tcW w:w="9360" w:type="dxa"/>
          </w:tcPr>
          <w:p w14:paraId="7CCA529D" w14:textId="77777777" w:rsidR="00EB2AD5" w:rsidRDefault="00985533" w:rsidP="0019429B">
            <w:pPr>
              <w:jc w:val="both"/>
              <w:rPr>
                <w:b/>
                <w:u w:val="single"/>
              </w:rPr>
            </w:pPr>
            <w:r>
              <w:rPr>
                <w:b/>
                <w:u w:val="single"/>
              </w:rPr>
              <w:t xml:space="preserve">COMPARISON OF </w:t>
            </w:r>
            <w:r>
              <w:rPr>
                <w:b/>
                <w:u w:val="single"/>
              </w:rPr>
              <w:t>INTRODUCED AND SUBSTITUTE</w:t>
            </w:r>
          </w:p>
          <w:p w14:paraId="4BE873E7" w14:textId="77777777" w:rsidR="0019429B" w:rsidRDefault="0019429B" w:rsidP="0019429B">
            <w:pPr>
              <w:jc w:val="both"/>
              <w:rPr>
                <w:b/>
                <w:u w:val="single"/>
              </w:rPr>
            </w:pPr>
          </w:p>
          <w:p w14:paraId="7260A394" w14:textId="586D16DD" w:rsidR="0093377F" w:rsidRDefault="00985533" w:rsidP="0019429B">
            <w:pPr>
              <w:jc w:val="both"/>
            </w:pPr>
            <w:r>
              <w:t>While C.S.H.B. 2688 may differ from the introduced in minor or nonsubstantive ways, the following summarizes the substantial differences between the introduced and committee substitute versions of the bill.</w:t>
            </w:r>
          </w:p>
          <w:p w14:paraId="6F68F7AC" w14:textId="77777777" w:rsidR="0093377F" w:rsidRPr="0093377F" w:rsidRDefault="0093377F" w:rsidP="0019429B">
            <w:pPr>
              <w:jc w:val="both"/>
            </w:pPr>
          </w:p>
          <w:p w14:paraId="1CFD0D66" w14:textId="6A5F18A0" w:rsidR="0093377F" w:rsidRDefault="00985533" w:rsidP="0019429B">
            <w:pPr>
              <w:jc w:val="both"/>
              <w:rPr>
                <w:bCs/>
              </w:rPr>
            </w:pPr>
            <w:r>
              <w:rPr>
                <w:bCs/>
              </w:rPr>
              <w:t xml:space="preserve">The </w:t>
            </w:r>
            <w:r w:rsidR="001F1E4B">
              <w:rPr>
                <w:bCs/>
              </w:rPr>
              <w:t xml:space="preserve">substitute omits a provision present in the </w:t>
            </w:r>
            <w:r>
              <w:rPr>
                <w:bCs/>
              </w:rPr>
              <w:t xml:space="preserve">introduced </w:t>
            </w:r>
            <w:r w:rsidRPr="00947357">
              <w:rPr>
                <w:bCs/>
              </w:rPr>
              <w:t>increas</w:t>
            </w:r>
            <w:r w:rsidR="001F1E4B">
              <w:rPr>
                <w:bCs/>
              </w:rPr>
              <w:t>ing</w:t>
            </w:r>
            <w:r w:rsidRPr="00947357">
              <w:rPr>
                <w:bCs/>
              </w:rPr>
              <w:t xml:space="preserve"> the assumed market rate of return on fund assets from seven percent per annum unless adjusted as provided by provisions governing the fund to seven and a half percent per annum unless adjusted as provided by those provisions</w:t>
            </w:r>
            <w:r w:rsidR="002F27EB">
              <w:rPr>
                <w:bCs/>
              </w:rPr>
              <w:t>.</w:t>
            </w:r>
          </w:p>
          <w:p w14:paraId="37D7E574" w14:textId="77777777" w:rsidR="00947357" w:rsidRDefault="00947357" w:rsidP="0019429B">
            <w:pPr>
              <w:jc w:val="both"/>
              <w:rPr>
                <w:bCs/>
              </w:rPr>
            </w:pPr>
          </w:p>
          <w:p w14:paraId="18D34B2F" w14:textId="2823FD80" w:rsidR="00947357" w:rsidRPr="004F5262" w:rsidRDefault="00985533" w:rsidP="0019429B">
            <w:pPr>
              <w:jc w:val="both"/>
              <w:rPr>
                <w:bCs/>
              </w:rPr>
            </w:pPr>
            <w:r>
              <w:rPr>
                <w:bCs/>
              </w:rPr>
              <w:t xml:space="preserve">The substitute </w:t>
            </w:r>
            <w:r w:rsidR="002F27EB">
              <w:rPr>
                <w:bCs/>
              </w:rPr>
              <w:t xml:space="preserve">includes a provision absent from the introduced </w:t>
            </w:r>
            <w:r w:rsidRPr="00947357">
              <w:rPr>
                <w:bCs/>
              </w:rPr>
              <w:t>defin</w:t>
            </w:r>
            <w:r w:rsidR="002F27EB">
              <w:rPr>
                <w:bCs/>
              </w:rPr>
              <w:t>ing</w:t>
            </w:r>
            <w:r w:rsidRPr="00947357">
              <w:rPr>
                <w:bCs/>
              </w:rPr>
              <w:t xml:space="preserve"> "entry age normal actuarial cost method" </w:t>
            </w:r>
            <w:r w:rsidR="001F1E4B">
              <w:rPr>
                <w:bCs/>
              </w:rPr>
              <w:t>for purposes of provisions governing the fund</w:t>
            </w:r>
            <w:r w:rsidR="00ED60C8">
              <w:rPr>
                <w:bCs/>
              </w:rPr>
              <w:t>.</w:t>
            </w:r>
          </w:p>
          <w:p w14:paraId="4D55CE70" w14:textId="77777777" w:rsidR="00947357" w:rsidRDefault="00947357" w:rsidP="0019429B">
            <w:pPr>
              <w:jc w:val="both"/>
              <w:rPr>
                <w:bCs/>
              </w:rPr>
            </w:pPr>
          </w:p>
          <w:p w14:paraId="072BA737" w14:textId="35143803" w:rsidR="004F5262" w:rsidRPr="005F0398" w:rsidRDefault="00985533" w:rsidP="0019429B">
            <w:pPr>
              <w:jc w:val="both"/>
              <w:rPr>
                <w:bCs/>
              </w:rPr>
            </w:pPr>
            <w:r>
              <w:rPr>
                <w:bCs/>
              </w:rPr>
              <w:t>Both the introduced and t</w:t>
            </w:r>
            <w:r w:rsidR="005F0398">
              <w:rPr>
                <w:bCs/>
              </w:rPr>
              <w:t>he substitute revis</w:t>
            </w:r>
            <w:r>
              <w:rPr>
                <w:bCs/>
              </w:rPr>
              <w:t>e provisions relating to</w:t>
            </w:r>
            <w:r w:rsidR="005F0398">
              <w:rPr>
                <w:bCs/>
              </w:rPr>
              <w:t xml:space="preserve"> </w:t>
            </w:r>
            <w:r w:rsidR="005F0398" w:rsidRPr="005F0398">
              <w:rPr>
                <w:bCs/>
              </w:rPr>
              <w:t>the assumptions and methods on which risk sharing valuation studies prepared by the respective actuaries of the fund and the municipality must be based</w:t>
            </w:r>
            <w:r>
              <w:rPr>
                <w:bCs/>
              </w:rPr>
              <w:t>. However, the substitute makes</w:t>
            </w:r>
            <w:r w:rsidR="005F0398">
              <w:rPr>
                <w:bCs/>
              </w:rPr>
              <w:t xml:space="preserve"> the following</w:t>
            </w:r>
            <w:r>
              <w:rPr>
                <w:bCs/>
              </w:rPr>
              <w:t xml:space="preserve"> revisions that did not appear in the introduced</w:t>
            </w:r>
            <w:r w:rsidRPr="005F0398">
              <w:rPr>
                <w:bCs/>
              </w:rPr>
              <w:t>:</w:t>
            </w:r>
          </w:p>
          <w:p w14:paraId="32A7A5D0" w14:textId="63B5A1C8" w:rsidR="00947357" w:rsidRPr="004F5262" w:rsidRDefault="00985533" w:rsidP="0019429B">
            <w:pPr>
              <w:pStyle w:val="ListParagraph"/>
              <w:numPr>
                <w:ilvl w:val="0"/>
                <w:numId w:val="6"/>
              </w:numPr>
              <w:jc w:val="both"/>
              <w:rPr>
                <w:bCs/>
              </w:rPr>
            </w:pPr>
            <w:r w:rsidRPr="004F5262">
              <w:rPr>
                <w:bCs/>
              </w:rPr>
              <w:t>replac</w:t>
            </w:r>
            <w:r w:rsidR="00CF784B">
              <w:rPr>
                <w:bCs/>
              </w:rPr>
              <w:t>es</w:t>
            </w:r>
            <w:r w:rsidRPr="004F5262">
              <w:rPr>
                <w:bCs/>
              </w:rPr>
              <w:t xml:space="preserve"> an ultimate entry age normal actuarial method with an entry age normal actuarial cost method, as defined by the </w:t>
            </w:r>
            <w:r w:rsidR="004F5262" w:rsidRPr="004F5262">
              <w:rPr>
                <w:bCs/>
              </w:rPr>
              <w:t>substitute</w:t>
            </w:r>
            <w:r w:rsidRPr="004F5262">
              <w:rPr>
                <w:bCs/>
              </w:rPr>
              <w:t>;</w:t>
            </w:r>
          </w:p>
          <w:p w14:paraId="6490E1C4" w14:textId="2C09E6D8" w:rsidR="00947357" w:rsidRPr="004F5262" w:rsidRDefault="00985533" w:rsidP="0019429B">
            <w:pPr>
              <w:pStyle w:val="ListParagraph"/>
              <w:numPr>
                <w:ilvl w:val="0"/>
                <w:numId w:val="6"/>
              </w:numPr>
              <w:jc w:val="both"/>
              <w:rPr>
                <w:bCs/>
              </w:rPr>
            </w:pPr>
            <w:r w:rsidRPr="004F5262">
              <w:rPr>
                <w:bCs/>
              </w:rPr>
              <w:t xml:space="preserve">with respect to the assumption that each liability loss layer amortized over a period of 30 years from the first day of the fiscal </w:t>
            </w:r>
            <w:r w:rsidRPr="004F5262">
              <w:rPr>
                <w:bCs/>
              </w:rPr>
              <w:t>year beginning 12 months after the date of the risk sharing valuation study in which the liability loss layer is first recognized</w:t>
            </w:r>
            <w:r w:rsidR="00325E7A">
              <w:rPr>
                <w:bCs/>
              </w:rPr>
              <w:t xml:space="preserve"> and the</w:t>
            </w:r>
            <w:r w:rsidRPr="004F5262">
              <w:rPr>
                <w:bCs/>
              </w:rPr>
              <w:t xml:space="preserve"> except</w:t>
            </w:r>
            <w:r w:rsidR="00325E7A">
              <w:rPr>
                <w:bCs/>
              </w:rPr>
              <w:t>ion</w:t>
            </w:r>
            <w:r w:rsidRPr="004F5262">
              <w:rPr>
                <w:bCs/>
              </w:rPr>
              <w:t xml:space="preserve"> that the legacy liability </w:t>
            </w:r>
            <w:r w:rsidR="00055A3A">
              <w:rPr>
                <w:bCs/>
              </w:rPr>
              <w:t xml:space="preserve">must </w:t>
            </w:r>
            <w:r w:rsidRPr="004F5262">
              <w:rPr>
                <w:bCs/>
              </w:rPr>
              <w:t>be amortized from July 1, 2016, for a 30</w:t>
            </w:r>
            <w:r w:rsidR="00172D90">
              <w:rPr>
                <w:bCs/>
              </w:rPr>
              <w:t>-</w:t>
            </w:r>
            <w:r w:rsidRPr="004F5262">
              <w:rPr>
                <w:bCs/>
              </w:rPr>
              <w:t>year period beginning July 1, 2017, remov</w:t>
            </w:r>
            <w:r w:rsidR="00CF784B">
              <w:rPr>
                <w:bCs/>
              </w:rPr>
              <w:t>es</w:t>
            </w:r>
            <w:r w:rsidRPr="004F5262">
              <w:rPr>
                <w:bCs/>
              </w:rPr>
              <w:t xml:space="preserve"> that exception and </w:t>
            </w:r>
            <w:r w:rsidR="0092135D">
              <w:rPr>
                <w:bCs/>
              </w:rPr>
              <w:t>reduc</w:t>
            </w:r>
            <w:r w:rsidR="00CF784B">
              <w:rPr>
                <w:bCs/>
              </w:rPr>
              <w:t>es</w:t>
            </w:r>
            <w:r w:rsidRPr="004F5262">
              <w:rPr>
                <w:bCs/>
              </w:rPr>
              <w:t xml:space="preserve"> </w:t>
            </w:r>
            <w:r w:rsidR="00CF784B">
              <w:rPr>
                <w:bCs/>
              </w:rPr>
              <w:t>the</w:t>
            </w:r>
            <w:r w:rsidRPr="004F5262">
              <w:rPr>
                <w:bCs/>
              </w:rPr>
              <w:t xml:space="preserve"> 30</w:t>
            </w:r>
            <w:r w:rsidR="00172D90">
              <w:rPr>
                <w:bCs/>
              </w:rPr>
              <w:t>-</w:t>
            </w:r>
            <w:r w:rsidRPr="004F5262">
              <w:rPr>
                <w:bCs/>
              </w:rPr>
              <w:t xml:space="preserve">year period </w:t>
            </w:r>
            <w:r w:rsidR="00CF784B">
              <w:rPr>
                <w:bCs/>
              </w:rPr>
              <w:t>to a</w:t>
            </w:r>
            <w:r w:rsidRPr="004F5262">
              <w:rPr>
                <w:bCs/>
              </w:rPr>
              <w:t xml:space="preserve"> 15</w:t>
            </w:r>
            <w:r w:rsidR="00172D90">
              <w:rPr>
                <w:bCs/>
              </w:rPr>
              <w:noBreakHyphen/>
            </w:r>
            <w:r w:rsidRPr="004F5262">
              <w:rPr>
                <w:bCs/>
              </w:rPr>
              <w:t>year</w:t>
            </w:r>
            <w:r w:rsidR="00CF784B">
              <w:rPr>
                <w:bCs/>
              </w:rPr>
              <w:t xml:space="preserve"> period</w:t>
            </w:r>
            <w:r w:rsidRPr="004F5262">
              <w:rPr>
                <w:bCs/>
              </w:rPr>
              <w:t>;</w:t>
            </w:r>
            <w:r w:rsidR="004F5262" w:rsidRPr="004F5262">
              <w:rPr>
                <w:bCs/>
              </w:rPr>
              <w:t xml:space="preserve"> and</w:t>
            </w:r>
          </w:p>
          <w:p w14:paraId="4F498DDC" w14:textId="6ED553FE" w:rsidR="00947357" w:rsidRDefault="00985533" w:rsidP="0019429B">
            <w:pPr>
              <w:pStyle w:val="ListParagraph"/>
              <w:numPr>
                <w:ilvl w:val="0"/>
                <w:numId w:val="6"/>
              </w:numPr>
              <w:jc w:val="both"/>
              <w:rPr>
                <w:bCs/>
              </w:rPr>
            </w:pPr>
            <w:r w:rsidRPr="004F5262">
              <w:rPr>
                <w:bCs/>
              </w:rPr>
              <w:t xml:space="preserve">with respect to the assumption that the amortization period for each liability gain layer, if there is no liability loss layer, is a period of 30 years from the first day of the fiscal year beginning 12 months after the date of the risk sharing valuation study in which the liability gain layer is first recognized, </w:t>
            </w:r>
            <w:r w:rsidR="005F0398">
              <w:rPr>
                <w:bCs/>
              </w:rPr>
              <w:t>reduc</w:t>
            </w:r>
            <w:r w:rsidR="00CF784B">
              <w:rPr>
                <w:bCs/>
              </w:rPr>
              <w:t>es</w:t>
            </w:r>
            <w:r w:rsidRPr="004F5262">
              <w:rPr>
                <w:bCs/>
              </w:rPr>
              <w:t xml:space="preserve"> </w:t>
            </w:r>
            <w:r w:rsidR="00CF784B">
              <w:rPr>
                <w:bCs/>
              </w:rPr>
              <w:t>the 30</w:t>
            </w:r>
            <w:r w:rsidR="00172D90">
              <w:rPr>
                <w:bCs/>
              </w:rPr>
              <w:t>-</w:t>
            </w:r>
            <w:r w:rsidR="00CF784B">
              <w:rPr>
                <w:bCs/>
              </w:rPr>
              <w:t>year</w:t>
            </w:r>
            <w:r w:rsidRPr="004F5262">
              <w:rPr>
                <w:bCs/>
              </w:rPr>
              <w:t xml:space="preserve"> period to a 15</w:t>
            </w:r>
            <w:r w:rsidR="00172D90">
              <w:rPr>
                <w:bCs/>
              </w:rPr>
              <w:t>-</w:t>
            </w:r>
            <w:r w:rsidRPr="004F5262">
              <w:rPr>
                <w:bCs/>
              </w:rPr>
              <w:t>year</w:t>
            </w:r>
            <w:r w:rsidR="00CF784B">
              <w:rPr>
                <w:bCs/>
              </w:rPr>
              <w:t xml:space="preserve"> period</w:t>
            </w:r>
            <w:r w:rsidR="0092135D">
              <w:rPr>
                <w:bCs/>
              </w:rPr>
              <w:t>.</w:t>
            </w:r>
          </w:p>
          <w:p w14:paraId="45438572" w14:textId="77777777" w:rsidR="0092135D" w:rsidRDefault="0092135D" w:rsidP="0019429B">
            <w:pPr>
              <w:jc w:val="both"/>
              <w:rPr>
                <w:bCs/>
              </w:rPr>
            </w:pPr>
          </w:p>
          <w:p w14:paraId="6CE31725" w14:textId="2078CA41" w:rsidR="00A6357F" w:rsidRDefault="00985533" w:rsidP="0019429B">
            <w:pPr>
              <w:jc w:val="both"/>
              <w:rPr>
                <w:bCs/>
              </w:rPr>
            </w:pPr>
            <w:r>
              <w:rPr>
                <w:bCs/>
              </w:rPr>
              <w:t xml:space="preserve">Whereas the </w:t>
            </w:r>
            <w:r w:rsidR="002F27EB">
              <w:rPr>
                <w:bCs/>
              </w:rPr>
              <w:t>substitute</w:t>
            </w:r>
            <w:r>
              <w:rPr>
                <w:bCs/>
              </w:rPr>
              <w:t xml:space="preserve"> </w:t>
            </w:r>
            <w:r w:rsidRPr="0092135D">
              <w:rPr>
                <w:bCs/>
              </w:rPr>
              <w:t>revise</w:t>
            </w:r>
            <w:r w:rsidR="002F27EB">
              <w:rPr>
                <w:bCs/>
              </w:rPr>
              <w:t>s</w:t>
            </w:r>
            <w:r w:rsidRPr="0092135D">
              <w:rPr>
                <w:bCs/>
              </w:rPr>
              <w:t xml:space="preserve"> the authorization for the municipality and the board to agree on a written transition plan for resetting the corridor midpoint if at any time the funded ratio is equal to or greater than 100 percent or for any fiscal year after the payoff year of the legacy liability</w:t>
            </w:r>
            <w:r w:rsidR="002F27EB">
              <w:t xml:space="preserve"> by </w:t>
            </w:r>
            <w:r w:rsidR="002F27EB" w:rsidRPr="002F27EB">
              <w:rPr>
                <w:bCs/>
              </w:rPr>
              <w:t>also authorizing the municipality and the board to agree on such a plan on a one-time basis other than one of th</w:t>
            </w:r>
            <w:r w:rsidR="002F27EB">
              <w:rPr>
                <w:bCs/>
              </w:rPr>
              <w:t>ose</w:t>
            </w:r>
            <w:r w:rsidR="002F27EB" w:rsidRPr="002F27EB">
              <w:rPr>
                <w:bCs/>
              </w:rPr>
              <w:t xml:space="preserve"> times</w:t>
            </w:r>
            <w:r w:rsidR="002F27EB">
              <w:rPr>
                <w:bCs/>
              </w:rPr>
              <w:t xml:space="preserve">, the introduced </w:t>
            </w:r>
            <w:r w:rsidR="002F27EB" w:rsidRPr="002F27EB">
              <w:rPr>
                <w:bCs/>
              </w:rPr>
              <w:t xml:space="preserve">made the authorization applicable at any time </w:t>
            </w:r>
            <w:r w:rsidR="002F27EB">
              <w:rPr>
                <w:bCs/>
              </w:rPr>
              <w:t xml:space="preserve">and accordingly </w:t>
            </w:r>
            <w:r w:rsidRPr="0092135D">
              <w:rPr>
                <w:bCs/>
              </w:rPr>
              <w:t>remov</w:t>
            </w:r>
            <w:r w:rsidR="002F27EB">
              <w:rPr>
                <w:bCs/>
              </w:rPr>
              <w:t xml:space="preserve">ed those </w:t>
            </w:r>
            <w:r w:rsidR="007D6219">
              <w:rPr>
                <w:bCs/>
              </w:rPr>
              <w:t xml:space="preserve">specified </w:t>
            </w:r>
            <w:r w:rsidR="002F27EB">
              <w:rPr>
                <w:bCs/>
              </w:rPr>
              <w:t xml:space="preserve">times </w:t>
            </w:r>
            <w:r w:rsidR="007D6219">
              <w:rPr>
                <w:bCs/>
              </w:rPr>
              <w:t>under</w:t>
            </w:r>
            <w:r w:rsidR="002F27EB">
              <w:rPr>
                <w:bCs/>
              </w:rPr>
              <w:t xml:space="preserve"> the current authorization. </w:t>
            </w:r>
          </w:p>
          <w:p w14:paraId="4F3EAF28" w14:textId="77777777" w:rsidR="005F0398" w:rsidRDefault="005F0398" w:rsidP="0019429B">
            <w:pPr>
              <w:jc w:val="both"/>
              <w:rPr>
                <w:bCs/>
              </w:rPr>
            </w:pPr>
          </w:p>
          <w:p w14:paraId="1661310C" w14:textId="77777777" w:rsidR="00A95F73" w:rsidRDefault="00985533" w:rsidP="0019429B">
            <w:pPr>
              <w:pStyle w:val="Header"/>
              <w:jc w:val="both"/>
            </w:pPr>
            <w:r>
              <w:rPr>
                <w:bCs/>
              </w:rPr>
              <w:t xml:space="preserve">The substitute includes provisions absent from the introduced </w:t>
            </w:r>
            <w:r w:rsidR="0096556A">
              <w:t xml:space="preserve">providing for the </w:t>
            </w:r>
            <w:r w:rsidR="00401FD3">
              <w:t xml:space="preserve">applicability </w:t>
            </w:r>
            <w:r w:rsidR="00FF2B10">
              <w:t xml:space="preserve">and implementation </w:t>
            </w:r>
            <w:r w:rsidR="00401FD3">
              <w:t xml:space="preserve">of its provisions relating to </w:t>
            </w:r>
            <w:r w:rsidR="0096556A">
              <w:t xml:space="preserve">the normal retirement age and to the </w:t>
            </w:r>
            <w:r w:rsidR="0096556A" w:rsidRPr="006217D6">
              <w:t>entitl</w:t>
            </w:r>
            <w:r w:rsidR="0096556A">
              <w:t>ement to receive a service pension for</w:t>
            </w:r>
            <w:r w:rsidR="0096556A" w:rsidRPr="006217D6">
              <w:t xml:space="preserve"> a member who was hired or rehired as a firefighter on or after the year 2017 effective date</w:t>
            </w:r>
            <w:r w:rsidR="00FF2B10">
              <w:t xml:space="preserve">, </w:t>
            </w:r>
            <w:r w:rsidR="0096556A">
              <w:t>the DROP</w:t>
            </w:r>
            <w:r w:rsidR="00FF2B10">
              <w:t>,</w:t>
            </w:r>
            <w:r w:rsidR="0096556A">
              <w:t xml:space="preserve"> and</w:t>
            </w:r>
            <w:r w:rsidR="00FF2B10">
              <w:t xml:space="preserve"> </w:t>
            </w:r>
            <w:r w:rsidR="0096556A" w:rsidRPr="00730953">
              <w:t>risk sharing valuation studies</w:t>
            </w:r>
            <w:r w:rsidR="00671A17">
              <w:t>.</w:t>
            </w:r>
          </w:p>
          <w:p w14:paraId="7BFB13CF" w14:textId="544C596F" w:rsidR="003E08EE" w:rsidRPr="00A95F73" w:rsidRDefault="003E08EE" w:rsidP="0019429B">
            <w:pPr>
              <w:pStyle w:val="Header"/>
              <w:jc w:val="both"/>
              <w:rPr>
                <w:bCs/>
              </w:rPr>
            </w:pPr>
          </w:p>
        </w:tc>
      </w:tr>
    </w:tbl>
    <w:p w14:paraId="293BB946" w14:textId="77777777" w:rsidR="008423E4" w:rsidRPr="00BE0E75" w:rsidRDefault="008423E4" w:rsidP="0019429B">
      <w:pPr>
        <w:jc w:val="both"/>
        <w:rPr>
          <w:rFonts w:ascii="Arial" w:hAnsi="Arial"/>
          <w:sz w:val="16"/>
          <w:szCs w:val="16"/>
        </w:rPr>
      </w:pPr>
    </w:p>
    <w:p w14:paraId="733F69B9" w14:textId="77777777" w:rsidR="004108C3" w:rsidRPr="008423E4" w:rsidRDefault="004108C3" w:rsidP="0019429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E20B" w14:textId="77777777" w:rsidR="00985533" w:rsidRDefault="00985533">
      <w:r>
        <w:separator/>
      </w:r>
    </w:p>
  </w:endnote>
  <w:endnote w:type="continuationSeparator" w:id="0">
    <w:p w14:paraId="05263FEB" w14:textId="77777777" w:rsidR="00985533" w:rsidRDefault="0098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7532" w14:textId="77777777" w:rsidR="00277B5C" w:rsidRDefault="00277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5314" w14:paraId="4EAC44C2" w14:textId="77777777" w:rsidTr="009C1E9A">
      <w:trPr>
        <w:cantSplit/>
      </w:trPr>
      <w:tc>
        <w:tcPr>
          <w:tcW w:w="0" w:type="pct"/>
        </w:tcPr>
        <w:p w14:paraId="00DBF9B6" w14:textId="77777777" w:rsidR="00137D90" w:rsidRDefault="00137D90" w:rsidP="009C1E9A">
          <w:pPr>
            <w:pStyle w:val="Footer"/>
            <w:tabs>
              <w:tab w:val="clear" w:pos="8640"/>
              <w:tab w:val="right" w:pos="9360"/>
            </w:tabs>
          </w:pPr>
        </w:p>
      </w:tc>
      <w:tc>
        <w:tcPr>
          <w:tcW w:w="2395" w:type="pct"/>
        </w:tcPr>
        <w:p w14:paraId="12076468" w14:textId="77777777" w:rsidR="00137D90" w:rsidRDefault="00137D90" w:rsidP="009C1E9A">
          <w:pPr>
            <w:pStyle w:val="Footer"/>
            <w:tabs>
              <w:tab w:val="clear" w:pos="8640"/>
              <w:tab w:val="right" w:pos="9360"/>
            </w:tabs>
          </w:pPr>
        </w:p>
        <w:p w14:paraId="40A3A07B" w14:textId="77777777" w:rsidR="001A4310" w:rsidRDefault="001A4310" w:rsidP="009C1E9A">
          <w:pPr>
            <w:pStyle w:val="Footer"/>
            <w:tabs>
              <w:tab w:val="clear" w:pos="8640"/>
              <w:tab w:val="right" w:pos="9360"/>
            </w:tabs>
          </w:pPr>
        </w:p>
        <w:p w14:paraId="60506496" w14:textId="77777777" w:rsidR="00137D90" w:rsidRDefault="00137D90" w:rsidP="009C1E9A">
          <w:pPr>
            <w:pStyle w:val="Footer"/>
            <w:tabs>
              <w:tab w:val="clear" w:pos="8640"/>
              <w:tab w:val="right" w:pos="9360"/>
            </w:tabs>
          </w:pPr>
        </w:p>
      </w:tc>
      <w:tc>
        <w:tcPr>
          <w:tcW w:w="2453" w:type="pct"/>
        </w:tcPr>
        <w:p w14:paraId="072FC52F" w14:textId="77777777" w:rsidR="00137D90" w:rsidRDefault="00137D90" w:rsidP="009C1E9A">
          <w:pPr>
            <w:pStyle w:val="Footer"/>
            <w:tabs>
              <w:tab w:val="clear" w:pos="8640"/>
              <w:tab w:val="right" w:pos="9360"/>
            </w:tabs>
            <w:jc w:val="right"/>
          </w:pPr>
        </w:p>
      </w:tc>
    </w:tr>
    <w:tr w:rsidR="00655314" w14:paraId="64A9D6AC" w14:textId="77777777" w:rsidTr="009C1E9A">
      <w:trPr>
        <w:cantSplit/>
      </w:trPr>
      <w:tc>
        <w:tcPr>
          <w:tcW w:w="0" w:type="pct"/>
        </w:tcPr>
        <w:p w14:paraId="41D6B885" w14:textId="77777777" w:rsidR="00EC379B" w:rsidRDefault="00EC379B" w:rsidP="009C1E9A">
          <w:pPr>
            <w:pStyle w:val="Footer"/>
            <w:tabs>
              <w:tab w:val="clear" w:pos="8640"/>
              <w:tab w:val="right" w:pos="9360"/>
            </w:tabs>
          </w:pPr>
        </w:p>
      </w:tc>
      <w:tc>
        <w:tcPr>
          <w:tcW w:w="2395" w:type="pct"/>
        </w:tcPr>
        <w:p w14:paraId="65718B53" w14:textId="3E01B647" w:rsidR="00EC379B" w:rsidRPr="009C1E9A" w:rsidRDefault="00985533" w:rsidP="009C1E9A">
          <w:pPr>
            <w:pStyle w:val="Footer"/>
            <w:tabs>
              <w:tab w:val="clear" w:pos="8640"/>
              <w:tab w:val="right" w:pos="9360"/>
            </w:tabs>
            <w:rPr>
              <w:rFonts w:ascii="Shruti" w:hAnsi="Shruti"/>
              <w:sz w:val="22"/>
            </w:rPr>
          </w:pPr>
          <w:r>
            <w:rPr>
              <w:rFonts w:ascii="Shruti" w:hAnsi="Shruti"/>
              <w:sz w:val="22"/>
            </w:rPr>
            <w:t>89R 26236-D</w:t>
          </w:r>
        </w:p>
      </w:tc>
      <w:tc>
        <w:tcPr>
          <w:tcW w:w="2453" w:type="pct"/>
        </w:tcPr>
        <w:p w14:paraId="4FFAD428" w14:textId="252F740E" w:rsidR="00EC379B" w:rsidRDefault="00985533" w:rsidP="009C1E9A">
          <w:pPr>
            <w:pStyle w:val="Footer"/>
            <w:tabs>
              <w:tab w:val="clear" w:pos="8640"/>
              <w:tab w:val="right" w:pos="9360"/>
            </w:tabs>
            <w:jc w:val="right"/>
          </w:pPr>
          <w:r>
            <w:fldChar w:fldCharType="begin"/>
          </w:r>
          <w:r>
            <w:instrText xml:space="preserve"> DOCPROPERTY  OTID  \* MERGEFORMAT </w:instrText>
          </w:r>
          <w:r>
            <w:fldChar w:fldCharType="separate"/>
          </w:r>
          <w:r w:rsidR="0019429B">
            <w:t>25.116.670</w:t>
          </w:r>
          <w:r>
            <w:fldChar w:fldCharType="end"/>
          </w:r>
        </w:p>
      </w:tc>
    </w:tr>
    <w:tr w:rsidR="00655314" w14:paraId="35A8E011" w14:textId="77777777" w:rsidTr="009C1E9A">
      <w:trPr>
        <w:cantSplit/>
      </w:trPr>
      <w:tc>
        <w:tcPr>
          <w:tcW w:w="0" w:type="pct"/>
        </w:tcPr>
        <w:p w14:paraId="629D8403" w14:textId="77777777" w:rsidR="00EC379B" w:rsidRDefault="00EC379B" w:rsidP="009C1E9A">
          <w:pPr>
            <w:pStyle w:val="Footer"/>
            <w:tabs>
              <w:tab w:val="clear" w:pos="4320"/>
              <w:tab w:val="clear" w:pos="8640"/>
              <w:tab w:val="left" w:pos="2865"/>
            </w:tabs>
          </w:pPr>
        </w:p>
      </w:tc>
      <w:tc>
        <w:tcPr>
          <w:tcW w:w="2395" w:type="pct"/>
        </w:tcPr>
        <w:p w14:paraId="4FDE46C6" w14:textId="500AD879" w:rsidR="00EC379B" w:rsidRPr="009C1E9A" w:rsidRDefault="00985533"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21072</w:t>
          </w:r>
        </w:p>
      </w:tc>
      <w:tc>
        <w:tcPr>
          <w:tcW w:w="2453" w:type="pct"/>
        </w:tcPr>
        <w:p w14:paraId="1D4DF20C" w14:textId="77777777" w:rsidR="00EC379B" w:rsidRDefault="00EC379B" w:rsidP="006D504F">
          <w:pPr>
            <w:pStyle w:val="Footer"/>
            <w:rPr>
              <w:rStyle w:val="PageNumber"/>
            </w:rPr>
          </w:pPr>
        </w:p>
        <w:p w14:paraId="524B8136" w14:textId="77777777" w:rsidR="00EC379B" w:rsidRDefault="00EC379B" w:rsidP="009C1E9A">
          <w:pPr>
            <w:pStyle w:val="Footer"/>
            <w:tabs>
              <w:tab w:val="clear" w:pos="8640"/>
              <w:tab w:val="right" w:pos="9360"/>
            </w:tabs>
            <w:jc w:val="right"/>
          </w:pPr>
        </w:p>
      </w:tc>
    </w:tr>
    <w:tr w:rsidR="00655314" w14:paraId="71414B88" w14:textId="77777777" w:rsidTr="009C1E9A">
      <w:trPr>
        <w:cantSplit/>
        <w:trHeight w:val="323"/>
      </w:trPr>
      <w:tc>
        <w:tcPr>
          <w:tcW w:w="0" w:type="pct"/>
          <w:gridSpan w:val="3"/>
        </w:tcPr>
        <w:p w14:paraId="2AA8B1C9" w14:textId="77777777" w:rsidR="00EC379B" w:rsidRDefault="0098553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4B93C0C" w14:textId="77777777" w:rsidR="00EC379B" w:rsidRDefault="00EC379B" w:rsidP="009C1E9A">
          <w:pPr>
            <w:pStyle w:val="Footer"/>
            <w:tabs>
              <w:tab w:val="clear" w:pos="8640"/>
              <w:tab w:val="right" w:pos="9360"/>
            </w:tabs>
            <w:jc w:val="center"/>
          </w:pPr>
        </w:p>
      </w:tc>
    </w:tr>
  </w:tbl>
  <w:p w14:paraId="70FBA2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2F1" w14:textId="77777777" w:rsidR="00277B5C" w:rsidRDefault="00277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74F" w14:textId="77777777" w:rsidR="00985533" w:rsidRDefault="00985533">
      <w:r>
        <w:separator/>
      </w:r>
    </w:p>
  </w:footnote>
  <w:footnote w:type="continuationSeparator" w:id="0">
    <w:p w14:paraId="5F744E79" w14:textId="77777777" w:rsidR="00985533" w:rsidRDefault="0098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F021" w14:textId="77777777" w:rsidR="00277B5C" w:rsidRDefault="00277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698" w14:textId="77777777" w:rsidR="00277B5C" w:rsidRDefault="00277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03DE" w14:textId="77777777" w:rsidR="00277B5C" w:rsidRDefault="00277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1EC"/>
    <w:multiLevelType w:val="hybridMultilevel"/>
    <w:tmpl w:val="61BE47A6"/>
    <w:lvl w:ilvl="0" w:tplc="6640166A">
      <w:start w:val="1"/>
      <w:numFmt w:val="bullet"/>
      <w:lvlText w:val=""/>
      <w:lvlJc w:val="left"/>
      <w:pPr>
        <w:tabs>
          <w:tab w:val="num" w:pos="720"/>
        </w:tabs>
        <w:ind w:left="720" w:hanging="360"/>
      </w:pPr>
      <w:rPr>
        <w:rFonts w:ascii="Symbol" w:hAnsi="Symbol" w:hint="default"/>
      </w:rPr>
    </w:lvl>
    <w:lvl w:ilvl="1" w:tplc="242CF7CC">
      <w:start w:val="1"/>
      <w:numFmt w:val="bullet"/>
      <w:lvlText w:val="o"/>
      <w:lvlJc w:val="left"/>
      <w:pPr>
        <w:ind w:left="1440" w:hanging="360"/>
      </w:pPr>
      <w:rPr>
        <w:rFonts w:ascii="Courier New" w:hAnsi="Courier New" w:cs="Courier New" w:hint="default"/>
      </w:rPr>
    </w:lvl>
    <w:lvl w:ilvl="2" w:tplc="169E2EAA">
      <w:start w:val="1"/>
      <w:numFmt w:val="bullet"/>
      <w:lvlText w:val=""/>
      <w:lvlJc w:val="left"/>
      <w:pPr>
        <w:ind w:left="2160" w:hanging="360"/>
      </w:pPr>
      <w:rPr>
        <w:rFonts w:ascii="Wingdings" w:hAnsi="Wingdings" w:hint="default"/>
      </w:rPr>
    </w:lvl>
    <w:lvl w:ilvl="3" w:tplc="9970D0EA" w:tentative="1">
      <w:start w:val="1"/>
      <w:numFmt w:val="bullet"/>
      <w:lvlText w:val=""/>
      <w:lvlJc w:val="left"/>
      <w:pPr>
        <w:ind w:left="2880" w:hanging="360"/>
      </w:pPr>
      <w:rPr>
        <w:rFonts w:ascii="Symbol" w:hAnsi="Symbol" w:hint="default"/>
      </w:rPr>
    </w:lvl>
    <w:lvl w:ilvl="4" w:tplc="17AEDBC4" w:tentative="1">
      <w:start w:val="1"/>
      <w:numFmt w:val="bullet"/>
      <w:lvlText w:val="o"/>
      <w:lvlJc w:val="left"/>
      <w:pPr>
        <w:ind w:left="3600" w:hanging="360"/>
      </w:pPr>
      <w:rPr>
        <w:rFonts w:ascii="Courier New" w:hAnsi="Courier New" w:cs="Courier New" w:hint="default"/>
      </w:rPr>
    </w:lvl>
    <w:lvl w:ilvl="5" w:tplc="8EDE3ED8" w:tentative="1">
      <w:start w:val="1"/>
      <w:numFmt w:val="bullet"/>
      <w:lvlText w:val=""/>
      <w:lvlJc w:val="left"/>
      <w:pPr>
        <w:ind w:left="4320" w:hanging="360"/>
      </w:pPr>
      <w:rPr>
        <w:rFonts w:ascii="Wingdings" w:hAnsi="Wingdings" w:hint="default"/>
      </w:rPr>
    </w:lvl>
    <w:lvl w:ilvl="6" w:tplc="70E6C142" w:tentative="1">
      <w:start w:val="1"/>
      <w:numFmt w:val="bullet"/>
      <w:lvlText w:val=""/>
      <w:lvlJc w:val="left"/>
      <w:pPr>
        <w:ind w:left="5040" w:hanging="360"/>
      </w:pPr>
      <w:rPr>
        <w:rFonts w:ascii="Symbol" w:hAnsi="Symbol" w:hint="default"/>
      </w:rPr>
    </w:lvl>
    <w:lvl w:ilvl="7" w:tplc="BD3EA6B4" w:tentative="1">
      <w:start w:val="1"/>
      <w:numFmt w:val="bullet"/>
      <w:lvlText w:val="o"/>
      <w:lvlJc w:val="left"/>
      <w:pPr>
        <w:ind w:left="5760" w:hanging="360"/>
      </w:pPr>
      <w:rPr>
        <w:rFonts w:ascii="Courier New" w:hAnsi="Courier New" w:cs="Courier New" w:hint="default"/>
      </w:rPr>
    </w:lvl>
    <w:lvl w:ilvl="8" w:tplc="AFDCFDFC" w:tentative="1">
      <w:start w:val="1"/>
      <w:numFmt w:val="bullet"/>
      <w:lvlText w:val=""/>
      <w:lvlJc w:val="left"/>
      <w:pPr>
        <w:ind w:left="6480" w:hanging="360"/>
      </w:pPr>
      <w:rPr>
        <w:rFonts w:ascii="Wingdings" w:hAnsi="Wingdings" w:hint="default"/>
      </w:rPr>
    </w:lvl>
  </w:abstractNum>
  <w:abstractNum w:abstractNumId="1" w15:restartNumberingAfterBreak="0">
    <w:nsid w:val="0DC15360"/>
    <w:multiLevelType w:val="hybridMultilevel"/>
    <w:tmpl w:val="B7863512"/>
    <w:lvl w:ilvl="0" w:tplc="BB4CD798">
      <w:start w:val="1"/>
      <w:numFmt w:val="bullet"/>
      <w:lvlText w:val=""/>
      <w:lvlJc w:val="left"/>
      <w:pPr>
        <w:tabs>
          <w:tab w:val="num" w:pos="720"/>
        </w:tabs>
        <w:ind w:left="720" w:hanging="360"/>
      </w:pPr>
      <w:rPr>
        <w:rFonts w:ascii="Symbol" w:hAnsi="Symbol" w:hint="default"/>
      </w:rPr>
    </w:lvl>
    <w:lvl w:ilvl="1" w:tplc="9F70F760" w:tentative="1">
      <w:start w:val="1"/>
      <w:numFmt w:val="bullet"/>
      <w:lvlText w:val="o"/>
      <w:lvlJc w:val="left"/>
      <w:pPr>
        <w:ind w:left="1440" w:hanging="360"/>
      </w:pPr>
      <w:rPr>
        <w:rFonts w:ascii="Courier New" w:hAnsi="Courier New" w:cs="Courier New" w:hint="default"/>
      </w:rPr>
    </w:lvl>
    <w:lvl w:ilvl="2" w:tplc="C2BE9DAA" w:tentative="1">
      <w:start w:val="1"/>
      <w:numFmt w:val="bullet"/>
      <w:lvlText w:val=""/>
      <w:lvlJc w:val="left"/>
      <w:pPr>
        <w:ind w:left="2160" w:hanging="360"/>
      </w:pPr>
      <w:rPr>
        <w:rFonts w:ascii="Wingdings" w:hAnsi="Wingdings" w:hint="default"/>
      </w:rPr>
    </w:lvl>
    <w:lvl w:ilvl="3" w:tplc="287EE72C" w:tentative="1">
      <w:start w:val="1"/>
      <w:numFmt w:val="bullet"/>
      <w:lvlText w:val=""/>
      <w:lvlJc w:val="left"/>
      <w:pPr>
        <w:ind w:left="2880" w:hanging="360"/>
      </w:pPr>
      <w:rPr>
        <w:rFonts w:ascii="Symbol" w:hAnsi="Symbol" w:hint="default"/>
      </w:rPr>
    </w:lvl>
    <w:lvl w:ilvl="4" w:tplc="237A84EA" w:tentative="1">
      <w:start w:val="1"/>
      <w:numFmt w:val="bullet"/>
      <w:lvlText w:val="o"/>
      <w:lvlJc w:val="left"/>
      <w:pPr>
        <w:ind w:left="3600" w:hanging="360"/>
      </w:pPr>
      <w:rPr>
        <w:rFonts w:ascii="Courier New" w:hAnsi="Courier New" w:cs="Courier New" w:hint="default"/>
      </w:rPr>
    </w:lvl>
    <w:lvl w:ilvl="5" w:tplc="8F24C56C" w:tentative="1">
      <w:start w:val="1"/>
      <w:numFmt w:val="bullet"/>
      <w:lvlText w:val=""/>
      <w:lvlJc w:val="left"/>
      <w:pPr>
        <w:ind w:left="4320" w:hanging="360"/>
      </w:pPr>
      <w:rPr>
        <w:rFonts w:ascii="Wingdings" w:hAnsi="Wingdings" w:hint="default"/>
      </w:rPr>
    </w:lvl>
    <w:lvl w:ilvl="6" w:tplc="51965AC0" w:tentative="1">
      <w:start w:val="1"/>
      <w:numFmt w:val="bullet"/>
      <w:lvlText w:val=""/>
      <w:lvlJc w:val="left"/>
      <w:pPr>
        <w:ind w:left="5040" w:hanging="360"/>
      </w:pPr>
      <w:rPr>
        <w:rFonts w:ascii="Symbol" w:hAnsi="Symbol" w:hint="default"/>
      </w:rPr>
    </w:lvl>
    <w:lvl w:ilvl="7" w:tplc="F98C0B20" w:tentative="1">
      <w:start w:val="1"/>
      <w:numFmt w:val="bullet"/>
      <w:lvlText w:val="o"/>
      <w:lvlJc w:val="left"/>
      <w:pPr>
        <w:ind w:left="5760" w:hanging="360"/>
      </w:pPr>
      <w:rPr>
        <w:rFonts w:ascii="Courier New" w:hAnsi="Courier New" w:cs="Courier New" w:hint="default"/>
      </w:rPr>
    </w:lvl>
    <w:lvl w:ilvl="8" w:tplc="173EFDA0" w:tentative="1">
      <w:start w:val="1"/>
      <w:numFmt w:val="bullet"/>
      <w:lvlText w:val=""/>
      <w:lvlJc w:val="left"/>
      <w:pPr>
        <w:ind w:left="6480" w:hanging="360"/>
      </w:pPr>
      <w:rPr>
        <w:rFonts w:ascii="Wingdings" w:hAnsi="Wingdings" w:hint="default"/>
      </w:rPr>
    </w:lvl>
  </w:abstractNum>
  <w:abstractNum w:abstractNumId="2" w15:restartNumberingAfterBreak="0">
    <w:nsid w:val="140F463A"/>
    <w:multiLevelType w:val="hybridMultilevel"/>
    <w:tmpl w:val="C29C7888"/>
    <w:lvl w:ilvl="0" w:tplc="8F46F1AC">
      <w:start w:val="1"/>
      <w:numFmt w:val="bullet"/>
      <w:lvlText w:val=""/>
      <w:lvlJc w:val="left"/>
      <w:pPr>
        <w:tabs>
          <w:tab w:val="num" w:pos="720"/>
        </w:tabs>
        <w:ind w:left="720" w:hanging="360"/>
      </w:pPr>
      <w:rPr>
        <w:rFonts w:ascii="Symbol" w:hAnsi="Symbol" w:hint="default"/>
      </w:rPr>
    </w:lvl>
    <w:lvl w:ilvl="1" w:tplc="0EE6E950">
      <w:start w:val="1"/>
      <w:numFmt w:val="bullet"/>
      <w:lvlText w:val="o"/>
      <w:lvlJc w:val="left"/>
      <w:pPr>
        <w:ind w:left="1440" w:hanging="360"/>
      </w:pPr>
      <w:rPr>
        <w:rFonts w:ascii="Courier New" w:hAnsi="Courier New" w:cs="Courier New" w:hint="default"/>
      </w:rPr>
    </w:lvl>
    <w:lvl w:ilvl="2" w:tplc="4BCAF148" w:tentative="1">
      <w:start w:val="1"/>
      <w:numFmt w:val="bullet"/>
      <w:lvlText w:val=""/>
      <w:lvlJc w:val="left"/>
      <w:pPr>
        <w:ind w:left="2160" w:hanging="360"/>
      </w:pPr>
      <w:rPr>
        <w:rFonts w:ascii="Wingdings" w:hAnsi="Wingdings" w:hint="default"/>
      </w:rPr>
    </w:lvl>
    <w:lvl w:ilvl="3" w:tplc="EF10F792" w:tentative="1">
      <w:start w:val="1"/>
      <w:numFmt w:val="bullet"/>
      <w:lvlText w:val=""/>
      <w:lvlJc w:val="left"/>
      <w:pPr>
        <w:ind w:left="2880" w:hanging="360"/>
      </w:pPr>
      <w:rPr>
        <w:rFonts w:ascii="Symbol" w:hAnsi="Symbol" w:hint="default"/>
      </w:rPr>
    </w:lvl>
    <w:lvl w:ilvl="4" w:tplc="661CD05C" w:tentative="1">
      <w:start w:val="1"/>
      <w:numFmt w:val="bullet"/>
      <w:lvlText w:val="o"/>
      <w:lvlJc w:val="left"/>
      <w:pPr>
        <w:ind w:left="3600" w:hanging="360"/>
      </w:pPr>
      <w:rPr>
        <w:rFonts w:ascii="Courier New" w:hAnsi="Courier New" w:cs="Courier New" w:hint="default"/>
      </w:rPr>
    </w:lvl>
    <w:lvl w:ilvl="5" w:tplc="14A66726" w:tentative="1">
      <w:start w:val="1"/>
      <w:numFmt w:val="bullet"/>
      <w:lvlText w:val=""/>
      <w:lvlJc w:val="left"/>
      <w:pPr>
        <w:ind w:left="4320" w:hanging="360"/>
      </w:pPr>
      <w:rPr>
        <w:rFonts w:ascii="Wingdings" w:hAnsi="Wingdings" w:hint="default"/>
      </w:rPr>
    </w:lvl>
    <w:lvl w:ilvl="6" w:tplc="9EEC7114" w:tentative="1">
      <w:start w:val="1"/>
      <w:numFmt w:val="bullet"/>
      <w:lvlText w:val=""/>
      <w:lvlJc w:val="left"/>
      <w:pPr>
        <w:ind w:left="5040" w:hanging="360"/>
      </w:pPr>
      <w:rPr>
        <w:rFonts w:ascii="Symbol" w:hAnsi="Symbol" w:hint="default"/>
      </w:rPr>
    </w:lvl>
    <w:lvl w:ilvl="7" w:tplc="AB8A46C6" w:tentative="1">
      <w:start w:val="1"/>
      <w:numFmt w:val="bullet"/>
      <w:lvlText w:val="o"/>
      <w:lvlJc w:val="left"/>
      <w:pPr>
        <w:ind w:left="5760" w:hanging="360"/>
      </w:pPr>
      <w:rPr>
        <w:rFonts w:ascii="Courier New" w:hAnsi="Courier New" w:cs="Courier New" w:hint="default"/>
      </w:rPr>
    </w:lvl>
    <w:lvl w:ilvl="8" w:tplc="92BCC34C" w:tentative="1">
      <w:start w:val="1"/>
      <w:numFmt w:val="bullet"/>
      <w:lvlText w:val=""/>
      <w:lvlJc w:val="left"/>
      <w:pPr>
        <w:ind w:left="6480" w:hanging="360"/>
      </w:pPr>
      <w:rPr>
        <w:rFonts w:ascii="Wingdings" w:hAnsi="Wingdings" w:hint="default"/>
      </w:rPr>
    </w:lvl>
  </w:abstractNum>
  <w:abstractNum w:abstractNumId="3" w15:restartNumberingAfterBreak="0">
    <w:nsid w:val="17780F94"/>
    <w:multiLevelType w:val="hybridMultilevel"/>
    <w:tmpl w:val="C7546F4C"/>
    <w:lvl w:ilvl="0" w:tplc="431021BE">
      <w:start w:val="1"/>
      <w:numFmt w:val="bullet"/>
      <w:lvlText w:val=""/>
      <w:lvlJc w:val="left"/>
      <w:pPr>
        <w:tabs>
          <w:tab w:val="num" w:pos="720"/>
        </w:tabs>
        <w:ind w:left="720" w:hanging="360"/>
      </w:pPr>
      <w:rPr>
        <w:rFonts w:ascii="Symbol" w:hAnsi="Symbol" w:hint="default"/>
      </w:rPr>
    </w:lvl>
    <w:lvl w:ilvl="1" w:tplc="C102DB70">
      <w:start w:val="1"/>
      <w:numFmt w:val="bullet"/>
      <w:lvlText w:val="o"/>
      <w:lvlJc w:val="left"/>
      <w:pPr>
        <w:ind w:left="1440" w:hanging="360"/>
      </w:pPr>
      <w:rPr>
        <w:rFonts w:ascii="Courier New" w:hAnsi="Courier New" w:cs="Courier New" w:hint="default"/>
      </w:rPr>
    </w:lvl>
    <w:lvl w:ilvl="2" w:tplc="0592142E">
      <w:start w:val="1"/>
      <w:numFmt w:val="bullet"/>
      <w:lvlText w:val=""/>
      <w:lvlJc w:val="left"/>
      <w:pPr>
        <w:ind w:left="2160" w:hanging="360"/>
      </w:pPr>
      <w:rPr>
        <w:rFonts w:ascii="Wingdings" w:hAnsi="Wingdings" w:hint="default"/>
      </w:rPr>
    </w:lvl>
    <w:lvl w:ilvl="3" w:tplc="74DEF95A" w:tentative="1">
      <w:start w:val="1"/>
      <w:numFmt w:val="bullet"/>
      <w:lvlText w:val=""/>
      <w:lvlJc w:val="left"/>
      <w:pPr>
        <w:ind w:left="2880" w:hanging="360"/>
      </w:pPr>
      <w:rPr>
        <w:rFonts w:ascii="Symbol" w:hAnsi="Symbol" w:hint="default"/>
      </w:rPr>
    </w:lvl>
    <w:lvl w:ilvl="4" w:tplc="8BE206FA" w:tentative="1">
      <w:start w:val="1"/>
      <w:numFmt w:val="bullet"/>
      <w:lvlText w:val="o"/>
      <w:lvlJc w:val="left"/>
      <w:pPr>
        <w:ind w:left="3600" w:hanging="360"/>
      </w:pPr>
      <w:rPr>
        <w:rFonts w:ascii="Courier New" w:hAnsi="Courier New" w:cs="Courier New" w:hint="default"/>
      </w:rPr>
    </w:lvl>
    <w:lvl w:ilvl="5" w:tplc="16F896C4" w:tentative="1">
      <w:start w:val="1"/>
      <w:numFmt w:val="bullet"/>
      <w:lvlText w:val=""/>
      <w:lvlJc w:val="left"/>
      <w:pPr>
        <w:ind w:left="4320" w:hanging="360"/>
      </w:pPr>
      <w:rPr>
        <w:rFonts w:ascii="Wingdings" w:hAnsi="Wingdings" w:hint="default"/>
      </w:rPr>
    </w:lvl>
    <w:lvl w:ilvl="6" w:tplc="5D5AB67A" w:tentative="1">
      <w:start w:val="1"/>
      <w:numFmt w:val="bullet"/>
      <w:lvlText w:val=""/>
      <w:lvlJc w:val="left"/>
      <w:pPr>
        <w:ind w:left="5040" w:hanging="360"/>
      </w:pPr>
      <w:rPr>
        <w:rFonts w:ascii="Symbol" w:hAnsi="Symbol" w:hint="default"/>
      </w:rPr>
    </w:lvl>
    <w:lvl w:ilvl="7" w:tplc="1DA0CCD2" w:tentative="1">
      <w:start w:val="1"/>
      <w:numFmt w:val="bullet"/>
      <w:lvlText w:val="o"/>
      <w:lvlJc w:val="left"/>
      <w:pPr>
        <w:ind w:left="5760" w:hanging="360"/>
      </w:pPr>
      <w:rPr>
        <w:rFonts w:ascii="Courier New" w:hAnsi="Courier New" w:cs="Courier New" w:hint="default"/>
      </w:rPr>
    </w:lvl>
    <w:lvl w:ilvl="8" w:tplc="5370713E" w:tentative="1">
      <w:start w:val="1"/>
      <w:numFmt w:val="bullet"/>
      <w:lvlText w:val=""/>
      <w:lvlJc w:val="left"/>
      <w:pPr>
        <w:ind w:left="6480" w:hanging="360"/>
      </w:pPr>
      <w:rPr>
        <w:rFonts w:ascii="Wingdings" w:hAnsi="Wingdings" w:hint="default"/>
      </w:rPr>
    </w:lvl>
  </w:abstractNum>
  <w:abstractNum w:abstractNumId="4" w15:restartNumberingAfterBreak="0">
    <w:nsid w:val="24A5068B"/>
    <w:multiLevelType w:val="hybridMultilevel"/>
    <w:tmpl w:val="52EA57DE"/>
    <w:lvl w:ilvl="0" w:tplc="F6F83564">
      <w:start w:val="1"/>
      <w:numFmt w:val="bullet"/>
      <w:lvlText w:val=""/>
      <w:lvlJc w:val="left"/>
      <w:pPr>
        <w:tabs>
          <w:tab w:val="num" w:pos="720"/>
        </w:tabs>
        <w:ind w:left="720" w:hanging="360"/>
      </w:pPr>
      <w:rPr>
        <w:rFonts w:ascii="Symbol" w:hAnsi="Symbol" w:hint="default"/>
      </w:rPr>
    </w:lvl>
    <w:lvl w:ilvl="1" w:tplc="960E15FC">
      <w:start w:val="1"/>
      <w:numFmt w:val="bullet"/>
      <w:lvlText w:val="o"/>
      <w:lvlJc w:val="left"/>
      <w:pPr>
        <w:ind w:left="1440" w:hanging="360"/>
      </w:pPr>
      <w:rPr>
        <w:rFonts w:ascii="Courier New" w:hAnsi="Courier New" w:cs="Courier New" w:hint="default"/>
      </w:rPr>
    </w:lvl>
    <w:lvl w:ilvl="2" w:tplc="DCECECF6" w:tentative="1">
      <w:start w:val="1"/>
      <w:numFmt w:val="bullet"/>
      <w:lvlText w:val=""/>
      <w:lvlJc w:val="left"/>
      <w:pPr>
        <w:ind w:left="2160" w:hanging="360"/>
      </w:pPr>
      <w:rPr>
        <w:rFonts w:ascii="Wingdings" w:hAnsi="Wingdings" w:hint="default"/>
      </w:rPr>
    </w:lvl>
    <w:lvl w:ilvl="3" w:tplc="58C4C2C0" w:tentative="1">
      <w:start w:val="1"/>
      <w:numFmt w:val="bullet"/>
      <w:lvlText w:val=""/>
      <w:lvlJc w:val="left"/>
      <w:pPr>
        <w:ind w:left="2880" w:hanging="360"/>
      </w:pPr>
      <w:rPr>
        <w:rFonts w:ascii="Symbol" w:hAnsi="Symbol" w:hint="default"/>
      </w:rPr>
    </w:lvl>
    <w:lvl w:ilvl="4" w:tplc="B0DA3150" w:tentative="1">
      <w:start w:val="1"/>
      <w:numFmt w:val="bullet"/>
      <w:lvlText w:val="o"/>
      <w:lvlJc w:val="left"/>
      <w:pPr>
        <w:ind w:left="3600" w:hanging="360"/>
      </w:pPr>
      <w:rPr>
        <w:rFonts w:ascii="Courier New" w:hAnsi="Courier New" w:cs="Courier New" w:hint="default"/>
      </w:rPr>
    </w:lvl>
    <w:lvl w:ilvl="5" w:tplc="423C727C" w:tentative="1">
      <w:start w:val="1"/>
      <w:numFmt w:val="bullet"/>
      <w:lvlText w:val=""/>
      <w:lvlJc w:val="left"/>
      <w:pPr>
        <w:ind w:left="4320" w:hanging="360"/>
      </w:pPr>
      <w:rPr>
        <w:rFonts w:ascii="Wingdings" w:hAnsi="Wingdings" w:hint="default"/>
      </w:rPr>
    </w:lvl>
    <w:lvl w:ilvl="6" w:tplc="91667AC4" w:tentative="1">
      <w:start w:val="1"/>
      <w:numFmt w:val="bullet"/>
      <w:lvlText w:val=""/>
      <w:lvlJc w:val="left"/>
      <w:pPr>
        <w:ind w:left="5040" w:hanging="360"/>
      </w:pPr>
      <w:rPr>
        <w:rFonts w:ascii="Symbol" w:hAnsi="Symbol" w:hint="default"/>
      </w:rPr>
    </w:lvl>
    <w:lvl w:ilvl="7" w:tplc="2DA2148C" w:tentative="1">
      <w:start w:val="1"/>
      <w:numFmt w:val="bullet"/>
      <w:lvlText w:val="o"/>
      <w:lvlJc w:val="left"/>
      <w:pPr>
        <w:ind w:left="5760" w:hanging="360"/>
      </w:pPr>
      <w:rPr>
        <w:rFonts w:ascii="Courier New" w:hAnsi="Courier New" w:cs="Courier New" w:hint="default"/>
      </w:rPr>
    </w:lvl>
    <w:lvl w:ilvl="8" w:tplc="81FE7B3A" w:tentative="1">
      <w:start w:val="1"/>
      <w:numFmt w:val="bullet"/>
      <w:lvlText w:val=""/>
      <w:lvlJc w:val="left"/>
      <w:pPr>
        <w:ind w:left="6480" w:hanging="360"/>
      </w:pPr>
      <w:rPr>
        <w:rFonts w:ascii="Wingdings" w:hAnsi="Wingdings" w:hint="default"/>
      </w:rPr>
    </w:lvl>
  </w:abstractNum>
  <w:abstractNum w:abstractNumId="5" w15:restartNumberingAfterBreak="0">
    <w:nsid w:val="65D31A00"/>
    <w:multiLevelType w:val="hybridMultilevel"/>
    <w:tmpl w:val="34B42998"/>
    <w:lvl w:ilvl="0" w:tplc="7C22ACD0">
      <w:start w:val="1"/>
      <w:numFmt w:val="bullet"/>
      <w:lvlText w:val=""/>
      <w:lvlJc w:val="left"/>
      <w:pPr>
        <w:tabs>
          <w:tab w:val="num" w:pos="720"/>
        </w:tabs>
        <w:ind w:left="720" w:hanging="360"/>
      </w:pPr>
      <w:rPr>
        <w:rFonts w:ascii="Symbol" w:hAnsi="Symbol" w:hint="default"/>
      </w:rPr>
    </w:lvl>
    <w:lvl w:ilvl="1" w:tplc="1450BF56">
      <w:start w:val="1"/>
      <w:numFmt w:val="bullet"/>
      <w:lvlText w:val="o"/>
      <w:lvlJc w:val="left"/>
      <w:pPr>
        <w:ind w:left="1440" w:hanging="360"/>
      </w:pPr>
      <w:rPr>
        <w:rFonts w:ascii="Courier New" w:hAnsi="Courier New" w:cs="Courier New" w:hint="default"/>
      </w:rPr>
    </w:lvl>
    <w:lvl w:ilvl="2" w:tplc="DE4EF8F0" w:tentative="1">
      <w:start w:val="1"/>
      <w:numFmt w:val="bullet"/>
      <w:lvlText w:val=""/>
      <w:lvlJc w:val="left"/>
      <w:pPr>
        <w:ind w:left="2160" w:hanging="360"/>
      </w:pPr>
      <w:rPr>
        <w:rFonts w:ascii="Wingdings" w:hAnsi="Wingdings" w:hint="default"/>
      </w:rPr>
    </w:lvl>
    <w:lvl w:ilvl="3" w:tplc="A8624E70" w:tentative="1">
      <w:start w:val="1"/>
      <w:numFmt w:val="bullet"/>
      <w:lvlText w:val=""/>
      <w:lvlJc w:val="left"/>
      <w:pPr>
        <w:ind w:left="2880" w:hanging="360"/>
      </w:pPr>
      <w:rPr>
        <w:rFonts w:ascii="Symbol" w:hAnsi="Symbol" w:hint="default"/>
      </w:rPr>
    </w:lvl>
    <w:lvl w:ilvl="4" w:tplc="9AC881BE" w:tentative="1">
      <w:start w:val="1"/>
      <w:numFmt w:val="bullet"/>
      <w:lvlText w:val="o"/>
      <w:lvlJc w:val="left"/>
      <w:pPr>
        <w:ind w:left="3600" w:hanging="360"/>
      </w:pPr>
      <w:rPr>
        <w:rFonts w:ascii="Courier New" w:hAnsi="Courier New" w:cs="Courier New" w:hint="default"/>
      </w:rPr>
    </w:lvl>
    <w:lvl w:ilvl="5" w:tplc="F4C48640" w:tentative="1">
      <w:start w:val="1"/>
      <w:numFmt w:val="bullet"/>
      <w:lvlText w:val=""/>
      <w:lvlJc w:val="left"/>
      <w:pPr>
        <w:ind w:left="4320" w:hanging="360"/>
      </w:pPr>
      <w:rPr>
        <w:rFonts w:ascii="Wingdings" w:hAnsi="Wingdings" w:hint="default"/>
      </w:rPr>
    </w:lvl>
    <w:lvl w:ilvl="6" w:tplc="B6DA47EE" w:tentative="1">
      <w:start w:val="1"/>
      <w:numFmt w:val="bullet"/>
      <w:lvlText w:val=""/>
      <w:lvlJc w:val="left"/>
      <w:pPr>
        <w:ind w:left="5040" w:hanging="360"/>
      </w:pPr>
      <w:rPr>
        <w:rFonts w:ascii="Symbol" w:hAnsi="Symbol" w:hint="default"/>
      </w:rPr>
    </w:lvl>
    <w:lvl w:ilvl="7" w:tplc="C276DD1A" w:tentative="1">
      <w:start w:val="1"/>
      <w:numFmt w:val="bullet"/>
      <w:lvlText w:val="o"/>
      <w:lvlJc w:val="left"/>
      <w:pPr>
        <w:ind w:left="5760" w:hanging="360"/>
      </w:pPr>
      <w:rPr>
        <w:rFonts w:ascii="Courier New" w:hAnsi="Courier New" w:cs="Courier New" w:hint="default"/>
      </w:rPr>
    </w:lvl>
    <w:lvl w:ilvl="8" w:tplc="BB788758" w:tentative="1">
      <w:start w:val="1"/>
      <w:numFmt w:val="bullet"/>
      <w:lvlText w:val=""/>
      <w:lvlJc w:val="left"/>
      <w:pPr>
        <w:ind w:left="6480" w:hanging="360"/>
      </w:pPr>
      <w:rPr>
        <w:rFonts w:ascii="Wingdings" w:hAnsi="Wingdings" w:hint="default"/>
      </w:rPr>
    </w:lvl>
  </w:abstractNum>
  <w:abstractNum w:abstractNumId="6" w15:restartNumberingAfterBreak="0">
    <w:nsid w:val="660048B2"/>
    <w:multiLevelType w:val="hybridMultilevel"/>
    <w:tmpl w:val="0E868850"/>
    <w:lvl w:ilvl="0" w:tplc="8F6CC742">
      <w:start w:val="1"/>
      <w:numFmt w:val="bullet"/>
      <w:lvlText w:val=""/>
      <w:lvlJc w:val="left"/>
      <w:pPr>
        <w:tabs>
          <w:tab w:val="num" w:pos="720"/>
        </w:tabs>
        <w:ind w:left="720" w:hanging="360"/>
      </w:pPr>
      <w:rPr>
        <w:rFonts w:ascii="Symbol" w:hAnsi="Symbol" w:hint="default"/>
      </w:rPr>
    </w:lvl>
    <w:lvl w:ilvl="1" w:tplc="E85A4F6E">
      <w:start w:val="1"/>
      <w:numFmt w:val="bullet"/>
      <w:lvlText w:val="o"/>
      <w:lvlJc w:val="left"/>
      <w:pPr>
        <w:ind w:left="1440" w:hanging="360"/>
      </w:pPr>
      <w:rPr>
        <w:rFonts w:ascii="Courier New" w:hAnsi="Courier New" w:cs="Courier New" w:hint="default"/>
      </w:rPr>
    </w:lvl>
    <w:lvl w:ilvl="2" w:tplc="B65A19D2" w:tentative="1">
      <w:start w:val="1"/>
      <w:numFmt w:val="bullet"/>
      <w:lvlText w:val=""/>
      <w:lvlJc w:val="left"/>
      <w:pPr>
        <w:ind w:left="2160" w:hanging="360"/>
      </w:pPr>
      <w:rPr>
        <w:rFonts w:ascii="Wingdings" w:hAnsi="Wingdings" w:hint="default"/>
      </w:rPr>
    </w:lvl>
    <w:lvl w:ilvl="3" w:tplc="0F407274" w:tentative="1">
      <w:start w:val="1"/>
      <w:numFmt w:val="bullet"/>
      <w:lvlText w:val=""/>
      <w:lvlJc w:val="left"/>
      <w:pPr>
        <w:ind w:left="2880" w:hanging="360"/>
      </w:pPr>
      <w:rPr>
        <w:rFonts w:ascii="Symbol" w:hAnsi="Symbol" w:hint="default"/>
      </w:rPr>
    </w:lvl>
    <w:lvl w:ilvl="4" w:tplc="413E5822" w:tentative="1">
      <w:start w:val="1"/>
      <w:numFmt w:val="bullet"/>
      <w:lvlText w:val="o"/>
      <w:lvlJc w:val="left"/>
      <w:pPr>
        <w:ind w:left="3600" w:hanging="360"/>
      </w:pPr>
      <w:rPr>
        <w:rFonts w:ascii="Courier New" w:hAnsi="Courier New" w:cs="Courier New" w:hint="default"/>
      </w:rPr>
    </w:lvl>
    <w:lvl w:ilvl="5" w:tplc="62DE6AA6" w:tentative="1">
      <w:start w:val="1"/>
      <w:numFmt w:val="bullet"/>
      <w:lvlText w:val=""/>
      <w:lvlJc w:val="left"/>
      <w:pPr>
        <w:ind w:left="4320" w:hanging="360"/>
      </w:pPr>
      <w:rPr>
        <w:rFonts w:ascii="Wingdings" w:hAnsi="Wingdings" w:hint="default"/>
      </w:rPr>
    </w:lvl>
    <w:lvl w:ilvl="6" w:tplc="BDA6258E" w:tentative="1">
      <w:start w:val="1"/>
      <w:numFmt w:val="bullet"/>
      <w:lvlText w:val=""/>
      <w:lvlJc w:val="left"/>
      <w:pPr>
        <w:ind w:left="5040" w:hanging="360"/>
      </w:pPr>
      <w:rPr>
        <w:rFonts w:ascii="Symbol" w:hAnsi="Symbol" w:hint="default"/>
      </w:rPr>
    </w:lvl>
    <w:lvl w:ilvl="7" w:tplc="14AED998" w:tentative="1">
      <w:start w:val="1"/>
      <w:numFmt w:val="bullet"/>
      <w:lvlText w:val="o"/>
      <w:lvlJc w:val="left"/>
      <w:pPr>
        <w:ind w:left="5760" w:hanging="360"/>
      </w:pPr>
      <w:rPr>
        <w:rFonts w:ascii="Courier New" w:hAnsi="Courier New" w:cs="Courier New" w:hint="default"/>
      </w:rPr>
    </w:lvl>
    <w:lvl w:ilvl="8" w:tplc="2922536A" w:tentative="1">
      <w:start w:val="1"/>
      <w:numFmt w:val="bullet"/>
      <w:lvlText w:val=""/>
      <w:lvlJc w:val="left"/>
      <w:pPr>
        <w:ind w:left="6480" w:hanging="360"/>
      </w:pPr>
      <w:rPr>
        <w:rFonts w:ascii="Wingdings" w:hAnsi="Wingdings" w:hint="default"/>
      </w:rPr>
    </w:lvl>
  </w:abstractNum>
  <w:num w:numId="1" w16cid:durableId="536162741">
    <w:abstractNumId w:val="6"/>
  </w:num>
  <w:num w:numId="2" w16cid:durableId="1861702246">
    <w:abstractNumId w:val="1"/>
  </w:num>
  <w:num w:numId="3" w16cid:durableId="120652922">
    <w:abstractNumId w:val="0"/>
  </w:num>
  <w:num w:numId="4" w16cid:durableId="533537688">
    <w:abstractNumId w:val="3"/>
  </w:num>
  <w:num w:numId="5" w16cid:durableId="748842198">
    <w:abstractNumId w:val="5"/>
  </w:num>
  <w:num w:numId="6" w16cid:durableId="1457026469">
    <w:abstractNumId w:val="4"/>
  </w:num>
  <w:num w:numId="7" w16cid:durableId="124322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EE"/>
    <w:rsid w:val="00000A70"/>
    <w:rsid w:val="000032B8"/>
    <w:rsid w:val="00003963"/>
    <w:rsid w:val="00003B06"/>
    <w:rsid w:val="000054B9"/>
    <w:rsid w:val="00007461"/>
    <w:rsid w:val="0001117E"/>
    <w:rsid w:val="0001125F"/>
    <w:rsid w:val="0001338E"/>
    <w:rsid w:val="00013D24"/>
    <w:rsid w:val="00014AF0"/>
    <w:rsid w:val="000155D6"/>
    <w:rsid w:val="00015D4E"/>
    <w:rsid w:val="00020C1E"/>
    <w:rsid w:val="00020E9B"/>
    <w:rsid w:val="00021F47"/>
    <w:rsid w:val="000236C1"/>
    <w:rsid w:val="000236EC"/>
    <w:rsid w:val="0002413D"/>
    <w:rsid w:val="000249F2"/>
    <w:rsid w:val="00027E81"/>
    <w:rsid w:val="00030AD8"/>
    <w:rsid w:val="0003107A"/>
    <w:rsid w:val="00031C95"/>
    <w:rsid w:val="000330D4"/>
    <w:rsid w:val="0003572D"/>
    <w:rsid w:val="00035DB0"/>
    <w:rsid w:val="00037088"/>
    <w:rsid w:val="000400D5"/>
    <w:rsid w:val="000405FD"/>
    <w:rsid w:val="00042A53"/>
    <w:rsid w:val="00042D8B"/>
    <w:rsid w:val="00043B84"/>
    <w:rsid w:val="0004512B"/>
    <w:rsid w:val="000463F0"/>
    <w:rsid w:val="00046BDA"/>
    <w:rsid w:val="0004762E"/>
    <w:rsid w:val="000532BD"/>
    <w:rsid w:val="00054CB7"/>
    <w:rsid w:val="000555E0"/>
    <w:rsid w:val="00055A3A"/>
    <w:rsid w:val="00055C12"/>
    <w:rsid w:val="000608B0"/>
    <w:rsid w:val="0006104C"/>
    <w:rsid w:val="00064BF2"/>
    <w:rsid w:val="000667BA"/>
    <w:rsid w:val="000676A7"/>
    <w:rsid w:val="00073914"/>
    <w:rsid w:val="00074236"/>
    <w:rsid w:val="000746BD"/>
    <w:rsid w:val="00076346"/>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B9D"/>
    <w:rsid w:val="000C7F1D"/>
    <w:rsid w:val="000D2EBA"/>
    <w:rsid w:val="000D32A1"/>
    <w:rsid w:val="000D3725"/>
    <w:rsid w:val="000D46E5"/>
    <w:rsid w:val="000D769C"/>
    <w:rsid w:val="000E1976"/>
    <w:rsid w:val="000E20F1"/>
    <w:rsid w:val="000E250E"/>
    <w:rsid w:val="000E5980"/>
    <w:rsid w:val="000E5B20"/>
    <w:rsid w:val="000E7161"/>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5F2"/>
    <w:rsid w:val="00115EE9"/>
    <w:rsid w:val="001169F9"/>
    <w:rsid w:val="00120797"/>
    <w:rsid w:val="001218D2"/>
    <w:rsid w:val="0012371B"/>
    <w:rsid w:val="00124580"/>
    <w:rsid w:val="001245C8"/>
    <w:rsid w:val="00124653"/>
    <w:rsid w:val="001247C5"/>
    <w:rsid w:val="00127893"/>
    <w:rsid w:val="00127A3F"/>
    <w:rsid w:val="001312BB"/>
    <w:rsid w:val="00136D20"/>
    <w:rsid w:val="00137D90"/>
    <w:rsid w:val="00141FB6"/>
    <w:rsid w:val="00142F8E"/>
    <w:rsid w:val="00143C8B"/>
    <w:rsid w:val="001454BA"/>
    <w:rsid w:val="00147530"/>
    <w:rsid w:val="0015331F"/>
    <w:rsid w:val="00156AB2"/>
    <w:rsid w:val="00160402"/>
    <w:rsid w:val="00160571"/>
    <w:rsid w:val="00161E93"/>
    <w:rsid w:val="00162C7A"/>
    <w:rsid w:val="00162DAE"/>
    <w:rsid w:val="001639C5"/>
    <w:rsid w:val="00163E45"/>
    <w:rsid w:val="001664C2"/>
    <w:rsid w:val="00171BF2"/>
    <w:rsid w:val="00172D90"/>
    <w:rsid w:val="0017347B"/>
    <w:rsid w:val="0017725B"/>
    <w:rsid w:val="0018050C"/>
    <w:rsid w:val="0018117F"/>
    <w:rsid w:val="001824ED"/>
    <w:rsid w:val="00183262"/>
    <w:rsid w:val="0018478F"/>
    <w:rsid w:val="00184B03"/>
    <w:rsid w:val="00185C59"/>
    <w:rsid w:val="00187C1B"/>
    <w:rsid w:val="001908AC"/>
    <w:rsid w:val="00190CFB"/>
    <w:rsid w:val="0019429B"/>
    <w:rsid w:val="0019457A"/>
    <w:rsid w:val="00195257"/>
    <w:rsid w:val="00195388"/>
    <w:rsid w:val="0019539E"/>
    <w:rsid w:val="001968BC"/>
    <w:rsid w:val="001A0739"/>
    <w:rsid w:val="001A0F00"/>
    <w:rsid w:val="001A2BDD"/>
    <w:rsid w:val="001A3DDF"/>
    <w:rsid w:val="001A4310"/>
    <w:rsid w:val="001A4D05"/>
    <w:rsid w:val="001A6358"/>
    <w:rsid w:val="001B053A"/>
    <w:rsid w:val="001B26D8"/>
    <w:rsid w:val="001B3BFA"/>
    <w:rsid w:val="001B75B8"/>
    <w:rsid w:val="001C1230"/>
    <w:rsid w:val="001C5BB4"/>
    <w:rsid w:val="001C60B5"/>
    <w:rsid w:val="001C61B0"/>
    <w:rsid w:val="001C7957"/>
    <w:rsid w:val="001C7DB8"/>
    <w:rsid w:val="001C7EA8"/>
    <w:rsid w:val="001D1711"/>
    <w:rsid w:val="001D2A01"/>
    <w:rsid w:val="001D2EF6"/>
    <w:rsid w:val="001D37A8"/>
    <w:rsid w:val="001D462E"/>
    <w:rsid w:val="001D5661"/>
    <w:rsid w:val="001E2CAD"/>
    <w:rsid w:val="001E34DB"/>
    <w:rsid w:val="001E37CD"/>
    <w:rsid w:val="001E4070"/>
    <w:rsid w:val="001E655E"/>
    <w:rsid w:val="001F1E4B"/>
    <w:rsid w:val="001F3CB8"/>
    <w:rsid w:val="001F6B91"/>
    <w:rsid w:val="001F703C"/>
    <w:rsid w:val="00200B9E"/>
    <w:rsid w:val="00200BF5"/>
    <w:rsid w:val="002010D1"/>
    <w:rsid w:val="00201338"/>
    <w:rsid w:val="00203FC0"/>
    <w:rsid w:val="0020775D"/>
    <w:rsid w:val="002116DD"/>
    <w:rsid w:val="002135A7"/>
    <w:rsid w:val="0021383D"/>
    <w:rsid w:val="00214C34"/>
    <w:rsid w:val="00216BBA"/>
    <w:rsid w:val="00216E12"/>
    <w:rsid w:val="00217466"/>
    <w:rsid w:val="0021751D"/>
    <w:rsid w:val="00217ABD"/>
    <w:rsid w:val="00217C49"/>
    <w:rsid w:val="0022177D"/>
    <w:rsid w:val="002242DA"/>
    <w:rsid w:val="00224C37"/>
    <w:rsid w:val="002304DF"/>
    <w:rsid w:val="0023341D"/>
    <w:rsid w:val="002338DA"/>
    <w:rsid w:val="00233D66"/>
    <w:rsid w:val="00233FDB"/>
    <w:rsid w:val="00234CEA"/>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B3E"/>
    <w:rsid w:val="00274C45"/>
    <w:rsid w:val="00275109"/>
    <w:rsid w:val="00275BEE"/>
    <w:rsid w:val="00277434"/>
    <w:rsid w:val="00277B5C"/>
    <w:rsid w:val="00280123"/>
    <w:rsid w:val="00281343"/>
    <w:rsid w:val="00281883"/>
    <w:rsid w:val="0028605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0A0"/>
    <w:rsid w:val="002C3203"/>
    <w:rsid w:val="002C3B07"/>
    <w:rsid w:val="002C532B"/>
    <w:rsid w:val="002C5713"/>
    <w:rsid w:val="002D05CC"/>
    <w:rsid w:val="002D305A"/>
    <w:rsid w:val="002D4CBB"/>
    <w:rsid w:val="002E21B8"/>
    <w:rsid w:val="002E2DC1"/>
    <w:rsid w:val="002E3627"/>
    <w:rsid w:val="002E7DF9"/>
    <w:rsid w:val="002F097B"/>
    <w:rsid w:val="002F2147"/>
    <w:rsid w:val="002F27EB"/>
    <w:rsid w:val="002F3111"/>
    <w:rsid w:val="002F4AEC"/>
    <w:rsid w:val="002F6E73"/>
    <w:rsid w:val="002F795D"/>
    <w:rsid w:val="00300823"/>
    <w:rsid w:val="00300D7F"/>
    <w:rsid w:val="00301638"/>
    <w:rsid w:val="00303B0C"/>
    <w:rsid w:val="0030459C"/>
    <w:rsid w:val="00306EF7"/>
    <w:rsid w:val="00313DFE"/>
    <w:rsid w:val="003143B2"/>
    <w:rsid w:val="00314821"/>
    <w:rsid w:val="0031483F"/>
    <w:rsid w:val="0031741B"/>
    <w:rsid w:val="00317C42"/>
    <w:rsid w:val="00321337"/>
    <w:rsid w:val="00321F2F"/>
    <w:rsid w:val="003229B2"/>
    <w:rsid w:val="003237F6"/>
    <w:rsid w:val="00324077"/>
    <w:rsid w:val="0032453B"/>
    <w:rsid w:val="00324868"/>
    <w:rsid w:val="00325E7A"/>
    <w:rsid w:val="003305F5"/>
    <w:rsid w:val="00333375"/>
    <w:rsid w:val="00333930"/>
    <w:rsid w:val="00336BA4"/>
    <w:rsid w:val="00336C7A"/>
    <w:rsid w:val="00337392"/>
    <w:rsid w:val="00337659"/>
    <w:rsid w:val="003427C9"/>
    <w:rsid w:val="00343A92"/>
    <w:rsid w:val="00344530"/>
    <w:rsid w:val="003446DC"/>
    <w:rsid w:val="00345FAA"/>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526"/>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01F"/>
    <w:rsid w:val="003B3DF3"/>
    <w:rsid w:val="003B48E2"/>
    <w:rsid w:val="003B4FA1"/>
    <w:rsid w:val="003B55A0"/>
    <w:rsid w:val="003B5BAD"/>
    <w:rsid w:val="003B66B6"/>
    <w:rsid w:val="003B7984"/>
    <w:rsid w:val="003B7AF6"/>
    <w:rsid w:val="003C0411"/>
    <w:rsid w:val="003C1871"/>
    <w:rsid w:val="003C1C55"/>
    <w:rsid w:val="003C25EA"/>
    <w:rsid w:val="003C36FD"/>
    <w:rsid w:val="003C4AA5"/>
    <w:rsid w:val="003C664C"/>
    <w:rsid w:val="003D726D"/>
    <w:rsid w:val="003E0875"/>
    <w:rsid w:val="003E08EE"/>
    <w:rsid w:val="003E0BB8"/>
    <w:rsid w:val="003E6CB0"/>
    <w:rsid w:val="003F1F5E"/>
    <w:rsid w:val="003F286A"/>
    <w:rsid w:val="003F77F8"/>
    <w:rsid w:val="00400ACD"/>
    <w:rsid w:val="00401FD3"/>
    <w:rsid w:val="00402E23"/>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2F0"/>
    <w:rsid w:val="0043190E"/>
    <w:rsid w:val="004324E9"/>
    <w:rsid w:val="004350F3"/>
    <w:rsid w:val="00436980"/>
    <w:rsid w:val="00441016"/>
    <w:rsid w:val="00441F2F"/>
    <w:rsid w:val="0044228B"/>
    <w:rsid w:val="004422E2"/>
    <w:rsid w:val="00447018"/>
    <w:rsid w:val="00450561"/>
    <w:rsid w:val="00450A40"/>
    <w:rsid w:val="00451D7C"/>
    <w:rsid w:val="00452FC3"/>
    <w:rsid w:val="00454715"/>
    <w:rsid w:val="00455936"/>
    <w:rsid w:val="00455ACE"/>
    <w:rsid w:val="00461B69"/>
    <w:rsid w:val="00462B3D"/>
    <w:rsid w:val="00470928"/>
    <w:rsid w:val="0047137B"/>
    <w:rsid w:val="00474927"/>
    <w:rsid w:val="00475913"/>
    <w:rsid w:val="0047791A"/>
    <w:rsid w:val="00480080"/>
    <w:rsid w:val="004824A7"/>
    <w:rsid w:val="00483AF0"/>
    <w:rsid w:val="00484167"/>
    <w:rsid w:val="00485D1F"/>
    <w:rsid w:val="00492211"/>
    <w:rsid w:val="00492325"/>
    <w:rsid w:val="00492A6D"/>
    <w:rsid w:val="00494303"/>
    <w:rsid w:val="0049682B"/>
    <w:rsid w:val="004977A3"/>
    <w:rsid w:val="004A03F7"/>
    <w:rsid w:val="004A081C"/>
    <w:rsid w:val="004A123F"/>
    <w:rsid w:val="004A2172"/>
    <w:rsid w:val="004A239F"/>
    <w:rsid w:val="004B0ECE"/>
    <w:rsid w:val="004B138F"/>
    <w:rsid w:val="004B412A"/>
    <w:rsid w:val="004B4B82"/>
    <w:rsid w:val="004B51B4"/>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526"/>
    <w:rsid w:val="004E47F2"/>
    <w:rsid w:val="004E4E2B"/>
    <w:rsid w:val="004E5D4F"/>
    <w:rsid w:val="004E5DEA"/>
    <w:rsid w:val="004E6639"/>
    <w:rsid w:val="004E6BAE"/>
    <w:rsid w:val="004F120D"/>
    <w:rsid w:val="004F32AD"/>
    <w:rsid w:val="004F5262"/>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774"/>
    <w:rsid w:val="00524647"/>
    <w:rsid w:val="00524B43"/>
    <w:rsid w:val="005269CE"/>
    <w:rsid w:val="005304B2"/>
    <w:rsid w:val="005336BD"/>
    <w:rsid w:val="00534A0E"/>
    <w:rsid w:val="00534A49"/>
    <w:rsid w:val="005363BB"/>
    <w:rsid w:val="00541B98"/>
    <w:rsid w:val="00543374"/>
    <w:rsid w:val="005447ED"/>
    <w:rsid w:val="00545548"/>
    <w:rsid w:val="00546923"/>
    <w:rsid w:val="00547642"/>
    <w:rsid w:val="00551AB4"/>
    <w:rsid w:val="00551CA6"/>
    <w:rsid w:val="00555034"/>
    <w:rsid w:val="005552E5"/>
    <w:rsid w:val="005570D2"/>
    <w:rsid w:val="00561528"/>
    <w:rsid w:val="0056153F"/>
    <w:rsid w:val="00561B14"/>
    <w:rsid w:val="00562C87"/>
    <w:rsid w:val="005636BD"/>
    <w:rsid w:val="005666D5"/>
    <w:rsid w:val="005669A7"/>
    <w:rsid w:val="00567B7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1D4"/>
    <w:rsid w:val="005A6D13"/>
    <w:rsid w:val="005A75CD"/>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C3D"/>
    <w:rsid w:val="005D767D"/>
    <w:rsid w:val="005D7A30"/>
    <w:rsid w:val="005D7D3B"/>
    <w:rsid w:val="005E1999"/>
    <w:rsid w:val="005E232C"/>
    <w:rsid w:val="005E2B83"/>
    <w:rsid w:val="005E4AEB"/>
    <w:rsid w:val="005E738F"/>
    <w:rsid w:val="005E788B"/>
    <w:rsid w:val="005F0398"/>
    <w:rsid w:val="005F1519"/>
    <w:rsid w:val="005F4862"/>
    <w:rsid w:val="005F5679"/>
    <w:rsid w:val="005F5FDF"/>
    <w:rsid w:val="005F6960"/>
    <w:rsid w:val="005F7000"/>
    <w:rsid w:val="005F7AAA"/>
    <w:rsid w:val="0060065C"/>
    <w:rsid w:val="00600BAA"/>
    <w:rsid w:val="006012DA"/>
    <w:rsid w:val="00603B0F"/>
    <w:rsid w:val="006049F5"/>
    <w:rsid w:val="006058AF"/>
    <w:rsid w:val="00605F7B"/>
    <w:rsid w:val="00607E64"/>
    <w:rsid w:val="006106E9"/>
    <w:rsid w:val="0061159E"/>
    <w:rsid w:val="00614633"/>
    <w:rsid w:val="00614BC8"/>
    <w:rsid w:val="006151FB"/>
    <w:rsid w:val="00617411"/>
    <w:rsid w:val="006217D6"/>
    <w:rsid w:val="006249CB"/>
    <w:rsid w:val="006259C6"/>
    <w:rsid w:val="006272DD"/>
    <w:rsid w:val="00630963"/>
    <w:rsid w:val="00631897"/>
    <w:rsid w:val="00632928"/>
    <w:rsid w:val="006330DA"/>
    <w:rsid w:val="00633262"/>
    <w:rsid w:val="00633460"/>
    <w:rsid w:val="00633EBA"/>
    <w:rsid w:val="006402E7"/>
    <w:rsid w:val="00640CB6"/>
    <w:rsid w:val="00641B42"/>
    <w:rsid w:val="00645750"/>
    <w:rsid w:val="00650692"/>
    <w:rsid w:val="006508D3"/>
    <w:rsid w:val="00650AFA"/>
    <w:rsid w:val="006511B7"/>
    <w:rsid w:val="00655314"/>
    <w:rsid w:val="006601F7"/>
    <w:rsid w:val="00662B77"/>
    <w:rsid w:val="00662D0E"/>
    <w:rsid w:val="00663265"/>
    <w:rsid w:val="0066345F"/>
    <w:rsid w:val="0066485B"/>
    <w:rsid w:val="0067036E"/>
    <w:rsid w:val="00671693"/>
    <w:rsid w:val="00671A17"/>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BCC"/>
    <w:rsid w:val="006C4709"/>
    <w:rsid w:val="006D3005"/>
    <w:rsid w:val="006D504F"/>
    <w:rsid w:val="006E0CAC"/>
    <w:rsid w:val="006E1CFB"/>
    <w:rsid w:val="006E1F94"/>
    <w:rsid w:val="006E26C1"/>
    <w:rsid w:val="006E30A8"/>
    <w:rsid w:val="006E45B0"/>
    <w:rsid w:val="006E5692"/>
    <w:rsid w:val="006E72C0"/>
    <w:rsid w:val="006F365D"/>
    <w:rsid w:val="006F4BB0"/>
    <w:rsid w:val="00701C63"/>
    <w:rsid w:val="007031BD"/>
    <w:rsid w:val="00703E80"/>
    <w:rsid w:val="00705276"/>
    <w:rsid w:val="007066A0"/>
    <w:rsid w:val="007075FB"/>
    <w:rsid w:val="0070787B"/>
    <w:rsid w:val="0071131D"/>
    <w:rsid w:val="00711E3D"/>
    <w:rsid w:val="00711E85"/>
    <w:rsid w:val="00712DDA"/>
    <w:rsid w:val="00717739"/>
    <w:rsid w:val="00717DE4"/>
    <w:rsid w:val="0072112B"/>
    <w:rsid w:val="00721724"/>
    <w:rsid w:val="00722EC5"/>
    <w:rsid w:val="00723326"/>
    <w:rsid w:val="00724252"/>
    <w:rsid w:val="00727E7A"/>
    <w:rsid w:val="007305D2"/>
    <w:rsid w:val="00730953"/>
    <w:rsid w:val="0073163C"/>
    <w:rsid w:val="00731A2B"/>
    <w:rsid w:val="00731DE3"/>
    <w:rsid w:val="00735B9D"/>
    <w:rsid w:val="007365A5"/>
    <w:rsid w:val="00736FB0"/>
    <w:rsid w:val="007404BC"/>
    <w:rsid w:val="00740D13"/>
    <w:rsid w:val="00740F5F"/>
    <w:rsid w:val="00742794"/>
    <w:rsid w:val="00743C4C"/>
    <w:rsid w:val="007445B7"/>
    <w:rsid w:val="00744920"/>
    <w:rsid w:val="00745F8A"/>
    <w:rsid w:val="007509BE"/>
    <w:rsid w:val="00751064"/>
    <w:rsid w:val="0075287B"/>
    <w:rsid w:val="00755C7B"/>
    <w:rsid w:val="0075657B"/>
    <w:rsid w:val="00760EE1"/>
    <w:rsid w:val="00763CC1"/>
    <w:rsid w:val="00764786"/>
    <w:rsid w:val="00766E12"/>
    <w:rsid w:val="0077098E"/>
    <w:rsid w:val="00771287"/>
    <w:rsid w:val="0077149E"/>
    <w:rsid w:val="00777518"/>
    <w:rsid w:val="0077779E"/>
    <w:rsid w:val="00780FB6"/>
    <w:rsid w:val="007831E2"/>
    <w:rsid w:val="007835D6"/>
    <w:rsid w:val="007839C7"/>
    <w:rsid w:val="0078552A"/>
    <w:rsid w:val="00785729"/>
    <w:rsid w:val="00785CBB"/>
    <w:rsid w:val="00786058"/>
    <w:rsid w:val="0079487D"/>
    <w:rsid w:val="007966D4"/>
    <w:rsid w:val="00796A0A"/>
    <w:rsid w:val="0079792C"/>
    <w:rsid w:val="007A0989"/>
    <w:rsid w:val="007A331F"/>
    <w:rsid w:val="007A334D"/>
    <w:rsid w:val="007A3844"/>
    <w:rsid w:val="007A4381"/>
    <w:rsid w:val="007A5097"/>
    <w:rsid w:val="007A5466"/>
    <w:rsid w:val="007A7EC1"/>
    <w:rsid w:val="007B4C58"/>
    <w:rsid w:val="007B4FCA"/>
    <w:rsid w:val="007B7B85"/>
    <w:rsid w:val="007C4304"/>
    <w:rsid w:val="007C462E"/>
    <w:rsid w:val="007C496B"/>
    <w:rsid w:val="007C6803"/>
    <w:rsid w:val="007D2892"/>
    <w:rsid w:val="007D2DCC"/>
    <w:rsid w:val="007D47E1"/>
    <w:rsid w:val="007D6219"/>
    <w:rsid w:val="007D7890"/>
    <w:rsid w:val="007D7FCB"/>
    <w:rsid w:val="007E33B6"/>
    <w:rsid w:val="007E59E8"/>
    <w:rsid w:val="007F3861"/>
    <w:rsid w:val="007F4162"/>
    <w:rsid w:val="007F5441"/>
    <w:rsid w:val="007F70D3"/>
    <w:rsid w:val="007F7668"/>
    <w:rsid w:val="00800030"/>
    <w:rsid w:val="00800C63"/>
    <w:rsid w:val="00801082"/>
    <w:rsid w:val="00802243"/>
    <w:rsid w:val="008023D4"/>
    <w:rsid w:val="00802771"/>
    <w:rsid w:val="00803B62"/>
    <w:rsid w:val="00804124"/>
    <w:rsid w:val="00805402"/>
    <w:rsid w:val="0080765F"/>
    <w:rsid w:val="00812BE3"/>
    <w:rsid w:val="00814516"/>
    <w:rsid w:val="00815C9D"/>
    <w:rsid w:val="008170E2"/>
    <w:rsid w:val="00822D70"/>
    <w:rsid w:val="00823191"/>
    <w:rsid w:val="00823E4C"/>
    <w:rsid w:val="00827749"/>
    <w:rsid w:val="00827B7E"/>
    <w:rsid w:val="00830EEB"/>
    <w:rsid w:val="0083102D"/>
    <w:rsid w:val="008347A9"/>
    <w:rsid w:val="00835628"/>
    <w:rsid w:val="00835E90"/>
    <w:rsid w:val="0084176D"/>
    <w:rsid w:val="008423E4"/>
    <w:rsid w:val="00842900"/>
    <w:rsid w:val="00850CF0"/>
    <w:rsid w:val="00851869"/>
    <w:rsid w:val="00851C04"/>
    <w:rsid w:val="008531A1"/>
    <w:rsid w:val="00853A94"/>
    <w:rsid w:val="008547A3"/>
    <w:rsid w:val="0085797D"/>
    <w:rsid w:val="00860005"/>
    <w:rsid w:val="00860020"/>
    <w:rsid w:val="008618E7"/>
    <w:rsid w:val="00861995"/>
    <w:rsid w:val="0086231A"/>
    <w:rsid w:val="0086477C"/>
    <w:rsid w:val="00864BAD"/>
    <w:rsid w:val="00866F9D"/>
    <w:rsid w:val="008673D9"/>
    <w:rsid w:val="00871775"/>
    <w:rsid w:val="00871AEF"/>
    <w:rsid w:val="0087217C"/>
    <w:rsid w:val="008726E5"/>
    <w:rsid w:val="0087289E"/>
    <w:rsid w:val="00874C05"/>
    <w:rsid w:val="0087588B"/>
    <w:rsid w:val="0087680A"/>
    <w:rsid w:val="00877F91"/>
    <w:rsid w:val="008806EB"/>
    <w:rsid w:val="008826F2"/>
    <w:rsid w:val="008845BA"/>
    <w:rsid w:val="00884AE3"/>
    <w:rsid w:val="00885203"/>
    <w:rsid w:val="008859CA"/>
    <w:rsid w:val="008861EE"/>
    <w:rsid w:val="00887643"/>
    <w:rsid w:val="008879F2"/>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FAA"/>
    <w:rsid w:val="008D58F9"/>
    <w:rsid w:val="008D7427"/>
    <w:rsid w:val="008E3338"/>
    <w:rsid w:val="008E47BE"/>
    <w:rsid w:val="008E6F04"/>
    <w:rsid w:val="008F09DF"/>
    <w:rsid w:val="008F0A93"/>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35D"/>
    <w:rsid w:val="0092195E"/>
    <w:rsid w:val="00921A1E"/>
    <w:rsid w:val="00924EA9"/>
    <w:rsid w:val="00925CE1"/>
    <w:rsid w:val="00925F5C"/>
    <w:rsid w:val="00926DE0"/>
    <w:rsid w:val="00930897"/>
    <w:rsid w:val="009320D2"/>
    <w:rsid w:val="009329FB"/>
    <w:rsid w:val="00932C77"/>
    <w:rsid w:val="0093377F"/>
    <w:rsid w:val="0093417F"/>
    <w:rsid w:val="00934AC2"/>
    <w:rsid w:val="009375BB"/>
    <w:rsid w:val="009418E9"/>
    <w:rsid w:val="00946044"/>
    <w:rsid w:val="0094653B"/>
    <w:rsid w:val="009465AB"/>
    <w:rsid w:val="00946DEE"/>
    <w:rsid w:val="00947357"/>
    <w:rsid w:val="00951972"/>
    <w:rsid w:val="00953499"/>
    <w:rsid w:val="00954A16"/>
    <w:rsid w:val="00956554"/>
    <w:rsid w:val="0095696D"/>
    <w:rsid w:val="00960F2D"/>
    <w:rsid w:val="0096482F"/>
    <w:rsid w:val="00964E3A"/>
    <w:rsid w:val="0096556A"/>
    <w:rsid w:val="00967126"/>
    <w:rsid w:val="00970EAE"/>
    <w:rsid w:val="00971627"/>
    <w:rsid w:val="00972797"/>
    <w:rsid w:val="0097279D"/>
    <w:rsid w:val="00976837"/>
    <w:rsid w:val="00980311"/>
    <w:rsid w:val="0098170E"/>
    <w:rsid w:val="0098242E"/>
    <w:rsid w:val="0098285C"/>
    <w:rsid w:val="00983B56"/>
    <w:rsid w:val="009847FD"/>
    <w:rsid w:val="009851B3"/>
    <w:rsid w:val="00985300"/>
    <w:rsid w:val="00985533"/>
    <w:rsid w:val="00986720"/>
    <w:rsid w:val="00987F00"/>
    <w:rsid w:val="00993AAB"/>
    <w:rsid w:val="00993D9D"/>
    <w:rsid w:val="0099403D"/>
    <w:rsid w:val="00995345"/>
    <w:rsid w:val="00995B0B"/>
    <w:rsid w:val="009A1883"/>
    <w:rsid w:val="009A39F5"/>
    <w:rsid w:val="009A4588"/>
    <w:rsid w:val="009A5EA5"/>
    <w:rsid w:val="009A7C34"/>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338"/>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0E0"/>
    <w:rsid w:val="009F64AE"/>
    <w:rsid w:val="009F7DF2"/>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24"/>
    <w:rsid w:val="00A1446F"/>
    <w:rsid w:val="00A151B5"/>
    <w:rsid w:val="00A220FF"/>
    <w:rsid w:val="00A227E0"/>
    <w:rsid w:val="00A22887"/>
    <w:rsid w:val="00A232E4"/>
    <w:rsid w:val="00A24AAD"/>
    <w:rsid w:val="00A26A8A"/>
    <w:rsid w:val="00A27255"/>
    <w:rsid w:val="00A32304"/>
    <w:rsid w:val="00A3420E"/>
    <w:rsid w:val="00A35D66"/>
    <w:rsid w:val="00A37D9E"/>
    <w:rsid w:val="00A41085"/>
    <w:rsid w:val="00A425FA"/>
    <w:rsid w:val="00A43960"/>
    <w:rsid w:val="00A46902"/>
    <w:rsid w:val="00A472DB"/>
    <w:rsid w:val="00A50CDB"/>
    <w:rsid w:val="00A51F3E"/>
    <w:rsid w:val="00A5364B"/>
    <w:rsid w:val="00A54142"/>
    <w:rsid w:val="00A54C42"/>
    <w:rsid w:val="00A572B1"/>
    <w:rsid w:val="00A577AF"/>
    <w:rsid w:val="00A60177"/>
    <w:rsid w:val="00A61C27"/>
    <w:rsid w:val="00A62638"/>
    <w:rsid w:val="00A6344D"/>
    <w:rsid w:val="00A6357F"/>
    <w:rsid w:val="00A644B8"/>
    <w:rsid w:val="00A6503D"/>
    <w:rsid w:val="00A668F1"/>
    <w:rsid w:val="00A70E35"/>
    <w:rsid w:val="00A720DC"/>
    <w:rsid w:val="00A747E8"/>
    <w:rsid w:val="00A803CF"/>
    <w:rsid w:val="00A8133F"/>
    <w:rsid w:val="00A82CB4"/>
    <w:rsid w:val="00A837A8"/>
    <w:rsid w:val="00A83C36"/>
    <w:rsid w:val="00A932BB"/>
    <w:rsid w:val="00A93579"/>
    <w:rsid w:val="00A93934"/>
    <w:rsid w:val="00A93AD3"/>
    <w:rsid w:val="00A95D51"/>
    <w:rsid w:val="00A95F73"/>
    <w:rsid w:val="00AA18AE"/>
    <w:rsid w:val="00AA228B"/>
    <w:rsid w:val="00AA597A"/>
    <w:rsid w:val="00AA66AD"/>
    <w:rsid w:val="00AA67A3"/>
    <w:rsid w:val="00AA7E52"/>
    <w:rsid w:val="00AB1655"/>
    <w:rsid w:val="00AB1873"/>
    <w:rsid w:val="00AB2C05"/>
    <w:rsid w:val="00AB3536"/>
    <w:rsid w:val="00AB474B"/>
    <w:rsid w:val="00AB5CCC"/>
    <w:rsid w:val="00AB74E2"/>
    <w:rsid w:val="00AC1E1A"/>
    <w:rsid w:val="00AC2E9A"/>
    <w:rsid w:val="00AC5AAB"/>
    <w:rsid w:val="00AC5AEC"/>
    <w:rsid w:val="00AC5F28"/>
    <w:rsid w:val="00AC669A"/>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71A"/>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14DC"/>
    <w:rsid w:val="00B7217A"/>
    <w:rsid w:val="00B73BB4"/>
    <w:rsid w:val="00B80532"/>
    <w:rsid w:val="00B82039"/>
    <w:rsid w:val="00B82454"/>
    <w:rsid w:val="00B90097"/>
    <w:rsid w:val="00B90999"/>
    <w:rsid w:val="00B91AD7"/>
    <w:rsid w:val="00B92D23"/>
    <w:rsid w:val="00B95BC8"/>
    <w:rsid w:val="00B96E87"/>
    <w:rsid w:val="00BA146A"/>
    <w:rsid w:val="00BA32EE"/>
    <w:rsid w:val="00BB5B36"/>
    <w:rsid w:val="00BC013C"/>
    <w:rsid w:val="00BC027B"/>
    <w:rsid w:val="00BC30A6"/>
    <w:rsid w:val="00BC3ED3"/>
    <w:rsid w:val="00BC3EF6"/>
    <w:rsid w:val="00BC4E34"/>
    <w:rsid w:val="00BC51D0"/>
    <w:rsid w:val="00BC5633"/>
    <w:rsid w:val="00BC58E1"/>
    <w:rsid w:val="00BC599B"/>
    <w:rsid w:val="00BC59CA"/>
    <w:rsid w:val="00BC6462"/>
    <w:rsid w:val="00BD0A32"/>
    <w:rsid w:val="00BD4E55"/>
    <w:rsid w:val="00BD513B"/>
    <w:rsid w:val="00BD5E52"/>
    <w:rsid w:val="00BE00CD"/>
    <w:rsid w:val="00BE052D"/>
    <w:rsid w:val="00BE0E75"/>
    <w:rsid w:val="00BE1789"/>
    <w:rsid w:val="00BE3634"/>
    <w:rsid w:val="00BE3E30"/>
    <w:rsid w:val="00BE5274"/>
    <w:rsid w:val="00BE71CD"/>
    <w:rsid w:val="00BE7748"/>
    <w:rsid w:val="00BE7BDA"/>
    <w:rsid w:val="00BF0548"/>
    <w:rsid w:val="00BF287C"/>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3E9"/>
    <w:rsid w:val="00C2766F"/>
    <w:rsid w:val="00C3223B"/>
    <w:rsid w:val="00C333C6"/>
    <w:rsid w:val="00C35CC5"/>
    <w:rsid w:val="00C361C5"/>
    <w:rsid w:val="00C377D1"/>
    <w:rsid w:val="00C37BDA"/>
    <w:rsid w:val="00C37C84"/>
    <w:rsid w:val="00C40F80"/>
    <w:rsid w:val="00C42B41"/>
    <w:rsid w:val="00C46166"/>
    <w:rsid w:val="00C4710D"/>
    <w:rsid w:val="00C50CAD"/>
    <w:rsid w:val="00C51493"/>
    <w:rsid w:val="00C57933"/>
    <w:rsid w:val="00C60206"/>
    <w:rsid w:val="00C615D4"/>
    <w:rsid w:val="00C61B5D"/>
    <w:rsid w:val="00C61C0E"/>
    <w:rsid w:val="00C61C64"/>
    <w:rsid w:val="00C61CDA"/>
    <w:rsid w:val="00C63B5B"/>
    <w:rsid w:val="00C67DBD"/>
    <w:rsid w:val="00C72956"/>
    <w:rsid w:val="00C73045"/>
    <w:rsid w:val="00C73212"/>
    <w:rsid w:val="00C7354A"/>
    <w:rsid w:val="00C74379"/>
    <w:rsid w:val="00C74DD8"/>
    <w:rsid w:val="00C75C5E"/>
    <w:rsid w:val="00C7669F"/>
    <w:rsid w:val="00C76DFF"/>
    <w:rsid w:val="00C80B8F"/>
    <w:rsid w:val="00C82743"/>
    <w:rsid w:val="00C834CE"/>
    <w:rsid w:val="00C9047F"/>
    <w:rsid w:val="00C91990"/>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171"/>
    <w:rsid w:val="00CD180C"/>
    <w:rsid w:val="00CD2BBE"/>
    <w:rsid w:val="00CD37DA"/>
    <w:rsid w:val="00CD4F2C"/>
    <w:rsid w:val="00CD731C"/>
    <w:rsid w:val="00CE08E8"/>
    <w:rsid w:val="00CE2133"/>
    <w:rsid w:val="00CE245D"/>
    <w:rsid w:val="00CE300F"/>
    <w:rsid w:val="00CE3582"/>
    <w:rsid w:val="00CE3795"/>
    <w:rsid w:val="00CE3E20"/>
    <w:rsid w:val="00CF1995"/>
    <w:rsid w:val="00CF3E9F"/>
    <w:rsid w:val="00CF4827"/>
    <w:rsid w:val="00CF4C69"/>
    <w:rsid w:val="00CF581C"/>
    <w:rsid w:val="00CF71E0"/>
    <w:rsid w:val="00CF784B"/>
    <w:rsid w:val="00D001B1"/>
    <w:rsid w:val="00D03176"/>
    <w:rsid w:val="00D060A8"/>
    <w:rsid w:val="00D06605"/>
    <w:rsid w:val="00D0720F"/>
    <w:rsid w:val="00D074E2"/>
    <w:rsid w:val="00D11B0B"/>
    <w:rsid w:val="00D12A3E"/>
    <w:rsid w:val="00D13026"/>
    <w:rsid w:val="00D17E17"/>
    <w:rsid w:val="00D22160"/>
    <w:rsid w:val="00D22172"/>
    <w:rsid w:val="00D228FB"/>
    <w:rsid w:val="00D2301B"/>
    <w:rsid w:val="00D239EE"/>
    <w:rsid w:val="00D24AF0"/>
    <w:rsid w:val="00D26750"/>
    <w:rsid w:val="00D30534"/>
    <w:rsid w:val="00D35728"/>
    <w:rsid w:val="00D359A7"/>
    <w:rsid w:val="00D36CD8"/>
    <w:rsid w:val="00D37BCF"/>
    <w:rsid w:val="00D40F93"/>
    <w:rsid w:val="00D42277"/>
    <w:rsid w:val="00D43C59"/>
    <w:rsid w:val="00D44ADE"/>
    <w:rsid w:val="00D4548A"/>
    <w:rsid w:val="00D45970"/>
    <w:rsid w:val="00D50D65"/>
    <w:rsid w:val="00D512E0"/>
    <w:rsid w:val="00D519F3"/>
    <w:rsid w:val="00D51D2A"/>
    <w:rsid w:val="00D53B7C"/>
    <w:rsid w:val="00D55F52"/>
    <w:rsid w:val="00D56508"/>
    <w:rsid w:val="00D60FDB"/>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625"/>
    <w:rsid w:val="00D90997"/>
    <w:rsid w:val="00D91B92"/>
    <w:rsid w:val="00D926B3"/>
    <w:rsid w:val="00D92F63"/>
    <w:rsid w:val="00D947B6"/>
    <w:rsid w:val="00D94A53"/>
    <w:rsid w:val="00D97E00"/>
    <w:rsid w:val="00DA00BC"/>
    <w:rsid w:val="00DA0E22"/>
    <w:rsid w:val="00DA1EFA"/>
    <w:rsid w:val="00DA25E7"/>
    <w:rsid w:val="00DA3687"/>
    <w:rsid w:val="00DA39F2"/>
    <w:rsid w:val="00DA564B"/>
    <w:rsid w:val="00DA61F8"/>
    <w:rsid w:val="00DA6A5C"/>
    <w:rsid w:val="00DB2475"/>
    <w:rsid w:val="00DB311F"/>
    <w:rsid w:val="00DB53C6"/>
    <w:rsid w:val="00DB59E3"/>
    <w:rsid w:val="00DB626A"/>
    <w:rsid w:val="00DB6CB6"/>
    <w:rsid w:val="00DB758F"/>
    <w:rsid w:val="00DC1F1B"/>
    <w:rsid w:val="00DC3D8F"/>
    <w:rsid w:val="00DC42E8"/>
    <w:rsid w:val="00DC6DBB"/>
    <w:rsid w:val="00DC7761"/>
    <w:rsid w:val="00DD0022"/>
    <w:rsid w:val="00DD073C"/>
    <w:rsid w:val="00DD128C"/>
    <w:rsid w:val="00DD1B8F"/>
    <w:rsid w:val="00DD39E2"/>
    <w:rsid w:val="00DD4272"/>
    <w:rsid w:val="00DD5BCC"/>
    <w:rsid w:val="00DD7509"/>
    <w:rsid w:val="00DD79C7"/>
    <w:rsid w:val="00DD7D6E"/>
    <w:rsid w:val="00DE34B2"/>
    <w:rsid w:val="00DE49DE"/>
    <w:rsid w:val="00DE618B"/>
    <w:rsid w:val="00DE6E4D"/>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39E"/>
    <w:rsid w:val="00E3469B"/>
    <w:rsid w:val="00E3679D"/>
    <w:rsid w:val="00E3795D"/>
    <w:rsid w:val="00E37E40"/>
    <w:rsid w:val="00E4098A"/>
    <w:rsid w:val="00E41CAE"/>
    <w:rsid w:val="00E41EEE"/>
    <w:rsid w:val="00E42014"/>
    <w:rsid w:val="00E42B85"/>
    <w:rsid w:val="00E42BB2"/>
    <w:rsid w:val="00E43002"/>
    <w:rsid w:val="00E43263"/>
    <w:rsid w:val="00E4333B"/>
    <w:rsid w:val="00E438AE"/>
    <w:rsid w:val="00E443CE"/>
    <w:rsid w:val="00E45547"/>
    <w:rsid w:val="00E500F1"/>
    <w:rsid w:val="00E51446"/>
    <w:rsid w:val="00E529C8"/>
    <w:rsid w:val="00E531E2"/>
    <w:rsid w:val="00E55DA0"/>
    <w:rsid w:val="00E56033"/>
    <w:rsid w:val="00E57CAA"/>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214"/>
    <w:rsid w:val="00E87710"/>
    <w:rsid w:val="00E87A99"/>
    <w:rsid w:val="00E90702"/>
    <w:rsid w:val="00E9241E"/>
    <w:rsid w:val="00E92BDC"/>
    <w:rsid w:val="00E93DEF"/>
    <w:rsid w:val="00E947B1"/>
    <w:rsid w:val="00E95ED4"/>
    <w:rsid w:val="00E96852"/>
    <w:rsid w:val="00E97A04"/>
    <w:rsid w:val="00EA16AC"/>
    <w:rsid w:val="00EA22AC"/>
    <w:rsid w:val="00EA385A"/>
    <w:rsid w:val="00EA3931"/>
    <w:rsid w:val="00EA658E"/>
    <w:rsid w:val="00EA7A88"/>
    <w:rsid w:val="00EB17F6"/>
    <w:rsid w:val="00EB27F2"/>
    <w:rsid w:val="00EB2AD5"/>
    <w:rsid w:val="00EB2B69"/>
    <w:rsid w:val="00EB3928"/>
    <w:rsid w:val="00EB5373"/>
    <w:rsid w:val="00EC02A2"/>
    <w:rsid w:val="00EC1427"/>
    <w:rsid w:val="00EC379B"/>
    <w:rsid w:val="00EC37DF"/>
    <w:rsid w:val="00EC3A99"/>
    <w:rsid w:val="00EC41B1"/>
    <w:rsid w:val="00ED0665"/>
    <w:rsid w:val="00ED12C0"/>
    <w:rsid w:val="00ED1486"/>
    <w:rsid w:val="00ED19F0"/>
    <w:rsid w:val="00ED2B50"/>
    <w:rsid w:val="00ED3A32"/>
    <w:rsid w:val="00ED3BDE"/>
    <w:rsid w:val="00ED60C8"/>
    <w:rsid w:val="00ED68FB"/>
    <w:rsid w:val="00ED783A"/>
    <w:rsid w:val="00EE2E34"/>
    <w:rsid w:val="00EE2E91"/>
    <w:rsid w:val="00EE3370"/>
    <w:rsid w:val="00EE43A2"/>
    <w:rsid w:val="00EE46B7"/>
    <w:rsid w:val="00EE5A49"/>
    <w:rsid w:val="00EE664B"/>
    <w:rsid w:val="00EF10BA"/>
    <w:rsid w:val="00EF1738"/>
    <w:rsid w:val="00EF2BAF"/>
    <w:rsid w:val="00EF3B8F"/>
    <w:rsid w:val="00EF4096"/>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F7E"/>
    <w:rsid w:val="00F27573"/>
    <w:rsid w:val="00F307B6"/>
    <w:rsid w:val="00F30EB8"/>
    <w:rsid w:val="00F31876"/>
    <w:rsid w:val="00F31C67"/>
    <w:rsid w:val="00F3631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13D"/>
    <w:rsid w:val="00F6514B"/>
    <w:rsid w:val="00F6533E"/>
    <w:rsid w:val="00F6587F"/>
    <w:rsid w:val="00F6692E"/>
    <w:rsid w:val="00F67981"/>
    <w:rsid w:val="00F706CA"/>
    <w:rsid w:val="00F70F8D"/>
    <w:rsid w:val="00F71C5A"/>
    <w:rsid w:val="00F71D25"/>
    <w:rsid w:val="00F733A4"/>
    <w:rsid w:val="00F7758F"/>
    <w:rsid w:val="00F82811"/>
    <w:rsid w:val="00F83F8D"/>
    <w:rsid w:val="00F84153"/>
    <w:rsid w:val="00F85661"/>
    <w:rsid w:val="00F85E0C"/>
    <w:rsid w:val="00F86A3F"/>
    <w:rsid w:val="00F96602"/>
    <w:rsid w:val="00F9735A"/>
    <w:rsid w:val="00FA32FC"/>
    <w:rsid w:val="00FA59FD"/>
    <w:rsid w:val="00FA5D8C"/>
    <w:rsid w:val="00FA6403"/>
    <w:rsid w:val="00FB0624"/>
    <w:rsid w:val="00FB16CD"/>
    <w:rsid w:val="00FB73AE"/>
    <w:rsid w:val="00FC07EC"/>
    <w:rsid w:val="00FC35F7"/>
    <w:rsid w:val="00FC5388"/>
    <w:rsid w:val="00FC548A"/>
    <w:rsid w:val="00FC726C"/>
    <w:rsid w:val="00FD1B4B"/>
    <w:rsid w:val="00FD1B94"/>
    <w:rsid w:val="00FD6C62"/>
    <w:rsid w:val="00FE1696"/>
    <w:rsid w:val="00FE19C5"/>
    <w:rsid w:val="00FE4286"/>
    <w:rsid w:val="00FE48C3"/>
    <w:rsid w:val="00FE5909"/>
    <w:rsid w:val="00FE652E"/>
    <w:rsid w:val="00FE71FE"/>
    <w:rsid w:val="00FF0A28"/>
    <w:rsid w:val="00FF0B8B"/>
    <w:rsid w:val="00FF0E93"/>
    <w:rsid w:val="00FF13C3"/>
    <w:rsid w:val="00FF2B10"/>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0E76F7-1F82-45C9-9D67-A09D780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41EEE"/>
    <w:rPr>
      <w:sz w:val="16"/>
      <w:szCs w:val="16"/>
    </w:rPr>
  </w:style>
  <w:style w:type="paragraph" w:styleId="CommentText">
    <w:name w:val="annotation text"/>
    <w:basedOn w:val="Normal"/>
    <w:link w:val="CommentTextChar"/>
    <w:unhideWhenUsed/>
    <w:rsid w:val="00E41EEE"/>
    <w:rPr>
      <w:sz w:val="20"/>
      <w:szCs w:val="20"/>
    </w:rPr>
  </w:style>
  <w:style w:type="character" w:customStyle="1" w:styleId="CommentTextChar">
    <w:name w:val="Comment Text Char"/>
    <w:basedOn w:val="DefaultParagraphFont"/>
    <w:link w:val="CommentText"/>
    <w:rsid w:val="00E41EEE"/>
  </w:style>
  <w:style w:type="paragraph" w:styleId="CommentSubject">
    <w:name w:val="annotation subject"/>
    <w:basedOn w:val="CommentText"/>
    <w:next w:val="CommentText"/>
    <w:link w:val="CommentSubjectChar"/>
    <w:semiHidden/>
    <w:unhideWhenUsed/>
    <w:rsid w:val="00E41EEE"/>
    <w:rPr>
      <w:b/>
      <w:bCs/>
    </w:rPr>
  </w:style>
  <w:style w:type="character" w:customStyle="1" w:styleId="CommentSubjectChar">
    <w:name w:val="Comment Subject Char"/>
    <w:basedOn w:val="CommentTextChar"/>
    <w:link w:val="CommentSubject"/>
    <w:semiHidden/>
    <w:rsid w:val="00E41EEE"/>
    <w:rPr>
      <w:b/>
      <w:bCs/>
    </w:rPr>
  </w:style>
  <w:style w:type="paragraph" w:styleId="ListParagraph">
    <w:name w:val="List Paragraph"/>
    <w:basedOn w:val="Normal"/>
    <w:uiPriority w:val="34"/>
    <w:qFormat/>
    <w:rsid w:val="007F70D3"/>
    <w:pPr>
      <w:ind w:left="720"/>
      <w:contextualSpacing/>
    </w:pPr>
  </w:style>
  <w:style w:type="paragraph" w:styleId="Revision">
    <w:name w:val="Revision"/>
    <w:hidden/>
    <w:uiPriority w:val="99"/>
    <w:semiHidden/>
    <w:rsid w:val="00993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13268</Characters>
  <Application>Microsoft Office Word</Application>
  <DocSecurity>0</DocSecurity>
  <Lines>244</Lines>
  <Paragraphs>74</Paragraphs>
  <ScaleCrop>false</ScaleCrop>
  <HeadingPairs>
    <vt:vector size="2" baseType="variant">
      <vt:variant>
        <vt:lpstr>Title</vt:lpstr>
      </vt:variant>
      <vt:variant>
        <vt:i4>1</vt:i4>
      </vt:variant>
    </vt:vector>
  </HeadingPairs>
  <TitlesOfParts>
    <vt:vector size="1" baseType="lpstr">
      <vt:lpstr>BA - HB02688 (Committee Report (Substituted))</vt:lpstr>
    </vt:vector>
  </TitlesOfParts>
  <Company>State of Texas</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26236</dc:subject>
  <dc:creator>State of Texas</dc:creator>
  <dc:description>HB 2688 by Harless-(H)Pensions, Investments &amp; Financial Services (Substitute Document Number: 89R 21072)</dc:description>
  <cp:lastModifiedBy>Damian Duarte</cp:lastModifiedBy>
  <cp:revision>2</cp:revision>
  <cp:lastPrinted>2003-11-26T17:21:00Z</cp:lastPrinted>
  <dcterms:created xsi:type="dcterms:W3CDTF">2025-04-30T19:23:00Z</dcterms:created>
  <dcterms:modified xsi:type="dcterms:W3CDTF">2025-04-30T19:23:00Z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25.116.670</vt:lpwstr>
  </property>
</Properties>
</file>