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62425" w14:paraId="1354F9FB" w14:textId="77777777" w:rsidTr="00345119">
        <w:tc>
          <w:tcPr>
            <w:tcW w:w="9576" w:type="dxa"/>
            <w:noWrap/>
          </w:tcPr>
          <w:p w14:paraId="03BD6193" w14:textId="77777777" w:rsidR="008423E4" w:rsidRPr="0022177D" w:rsidRDefault="00E254C9" w:rsidP="0062214B">
            <w:pPr>
              <w:pStyle w:val="Heading1"/>
            </w:pPr>
            <w:r w:rsidRPr="00631897">
              <w:t>BILL ANALYSIS</w:t>
            </w:r>
          </w:p>
        </w:tc>
      </w:tr>
    </w:tbl>
    <w:p w14:paraId="3E06C0CA" w14:textId="77777777" w:rsidR="008423E4" w:rsidRPr="0022177D" w:rsidRDefault="008423E4" w:rsidP="0062214B">
      <w:pPr>
        <w:jc w:val="center"/>
      </w:pPr>
    </w:p>
    <w:p w14:paraId="241EDE79" w14:textId="77777777" w:rsidR="008423E4" w:rsidRPr="00B31F0E" w:rsidRDefault="008423E4" w:rsidP="0062214B"/>
    <w:p w14:paraId="4F49A0AC" w14:textId="77777777" w:rsidR="008423E4" w:rsidRPr="00742794" w:rsidRDefault="008423E4" w:rsidP="0062214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62425" w14:paraId="302BFDB0" w14:textId="77777777" w:rsidTr="00345119">
        <w:tc>
          <w:tcPr>
            <w:tcW w:w="9576" w:type="dxa"/>
          </w:tcPr>
          <w:p w14:paraId="56A5C2B8" w14:textId="69C3D7A4" w:rsidR="008423E4" w:rsidRPr="00861995" w:rsidRDefault="00E254C9" w:rsidP="0062214B">
            <w:pPr>
              <w:jc w:val="right"/>
            </w:pPr>
            <w:r>
              <w:t>C.S.H.B. 2786</w:t>
            </w:r>
          </w:p>
        </w:tc>
      </w:tr>
      <w:tr w:rsidR="00662425" w14:paraId="579DDBB5" w14:textId="77777777" w:rsidTr="00345119">
        <w:tc>
          <w:tcPr>
            <w:tcW w:w="9576" w:type="dxa"/>
          </w:tcPr>
          <w:p w14:paraId="22B0118C" w14:textId="46EA7D59" w:rsidR="008423E4" w:rsidRPr="00861995" w:rsidRDefault="00E254C9" w:rsidP="0062214B">
            <w:pPr>
              <w:jc w:val="right"/>
            </w:pPr>
            <w:r>
              <w:t xml:space="preserve">By: </w:t>
            </w:r>
            <w:r w:rsidR="00175E1B">
              <w:t>Turner</w:t>
            </w:r>
          </w:p>
        </w:tc>
      </w:tr>
      <w:tr w:rsidR="00662425" w14:paraId="263E52DA" w14:textId="77777777" w:rsidTr="00345119">
        <w:tc>
          <w:tcPr>
            <w:tcW w:w="9576" w:type="dxa"/>
          </w:tcPr>
          <w:p w14:paraId="5E02A344" w14:textId="5CD1C83C" w:rsidR="008423E4" w:rsidRPr="00861995" w:rsidRDefault="00E254C9" w:rsidP="0062214B">
            <w:pPr>
              <w:jc w:val="right"/>
            </w:pPr>
            <w:r>
              <w:t>Ways &amp; Means</w:t>
            </w:r>
          </w:p>
        </w:tc>
      </w:tr>
      <w:tr w:rsidR="00662425" w14:paraId="72582EC0" w14:textId="77777777" w:rsidTr="00345119">
        <w:tc>
          <w:tcPr>
            <w:tcW w:w="9576" w:type="dxa"/>
          </w:tcPr>
          <w:p w14:paraId="3FFD454B" w14:textId="7F966802" w:rsidR="008423E4" w:rsidRDefault="00E254C9" w:rsidP="0062214B">
            <w:pPr>
              <w:jc w:val="right"/>
            </w:pPr>
            <w:r>
              <w:t>Committee Report (Substituted)</w:t>
            </w:r>
          </w:p>
        </w:tc>
      </w:tr>
    </w:tbl>
    <w:p w14:paraId="3C067A28" w14:textId="77777777" w:rsidR="008423E4" w:rsidRDefault="008423E4" w:rsidP="0062214B">
      <w:pPr>
        <w:tabs>
          <w:tab w:val="right" w:pos="9360"/>
        </w:tabs>
      </w:pPr>
    </w:p>
    <w:p w14:paraId="5F89147D" w14:textId="77777777" w:rsidR="008423E4" w:rsidRDefault="008423E4" w:rsidP="0062214B"/>
    <w:p w14:paraId="28E3F5F3" w14:textId="77777777" w:rsidR="008423E4" w:rsidRDefault="008423E4" w:rsidP="0062214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62425" w14:paraId="46580E4B" w14:textId="77777777" w:rsidTr="00C3288A">
        <w:tc>
          <w:tcPr>
            <w:tcW w:w="9360" w:type="dxa"/>
          </w:tcPr>
          <w:p w14:paraId="4C5F2C64" w14:textId="77777777" w:rsidR="008423E4" w:rsidRPr="00A8133F" w:rsidRDefault="00E254C9" w:rsidP="0062214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A36CC3F" w14:textId="77777777" w:rsidR="008423E4" w:rsidRDefault="008423E4" w:rsidP="0062214B"/>
          <w:p w14:paraId="23467783" w14:textId="3ABDF7EC" w:rsidR="008423E4" w:rsidRDefault="00E254C9" w:rsidP="0062214B">
            <w:pPr>
              <w:pStyle w:val="Header"/>
              <w:jc w:val="both"/>
            </w:pPr>
            <w:r>
              <w:t xml:space="preserve">The bill author has informed the committee that under current law, it is implied that properties must be reappraised annually, </w:t>
            </w:r>
            <w:r>
              <w:t>however, some appraisal districts, such as the Tarrant Appraisal District</w:t>
            </w:r>
            <w:r w:rsidR="00BB1B5B">
              <w:t>,</w:t>
            </w:r>
            <w:r>
              <w:t xml:space="preserve"> have implemented policies that allow for multi-year reappraisal cycles and that such practices </w:t>
            </w:r>
            <w:r w:rsidR="00BB1B5B">
              <w:t xml:space="preserve">can </w:t>
            </w:r>
            <w:r>
              <w:t xml:space="preserve">create inequitable tax burdens, revenue instability for local governments, and market distortions. </w:t>
            </w:r>
            <w:r w:rsidR="00BB1B5B">
              <w:t>The bill author has further informed the committee that s</w:t>
            </w:r>
            <w:r>
              <w:t xml:space="preserve">chool districts are particularly affected by this issue, </w:t>
            </w:r>
            <w:r w:rsidR="00CF64A9">
              <w:t xml:space="preserve">since </w:t>
            </w:r>
            <w:r>
              <w:t>they rely on accurate appraisals to receive the appropriate amount of state funding</w:t>
            </w:r>
            <w:r w:rsidR="00BB1B5B">
              <w:t xml:space="preserve"> and that upon </w:t>
            </w:r>
            <w:r>
              <w:t>an appraisal district</w:t>
            </w:r>
            <w:r>
              <w:t xml:space="preserve"> undervalu</w:t>
            </w:r>
            <w:r w:rsidR="00BB1B5B">
              <w:t>ing</w:t>
            </w:r>
            <w:r>
              <w:t xml:space="preserve"> propert</w:t>
            </w:r>
            <w:r w:rsidR="00BB1B5B">
              <w:t>y</w:t>
            </w:r>
            <w:r>
              <w:t xml:space="preserve">, a school district may fail the Property Value Study (PVS) conducted by the Texas Comptroller, which can result in reduced state funding or increased recapture payments. </w:t>
            </w:r>
            <w:r w:rsidR="00BB1B5B">
              <w:t xml:space="preserve">C.S.H.B. </w:t>
            </w:r>
            <w:r>
              <w:t xml:space="preserve">2786 </w:t>
            </w:r>
            <w:r w:rsidR="00BB1B5B">
              <w:t xml:space="preserve">seeks to </w:t>
            </w:r>
            <w:r w:rsidR="00CF64A9">
              <w:t xml:space="preserve">eliminate multi-year reappraisal cycles in certain </w:t>
            </w:r>
            <w:r w:rsidR="00BB1B5B">
              <w:t>Texas appraisal districts</w:t>
            </w:r>
            <w:r>
              <w:t xml:space="preserve">. </w:t>
            </w:r>
          </w:p>
          <w:p w14:paraId="6163A259" w14:textId="77777777" w:rsidR="008423E4" w:rsidRPr="00E26B13" w:rsidRDefault="008423E4" w:rsidP="0062214B">
            <w:pPr>
              <w:rPr>
                <w:b/>
              </w:rPr>
            </w:pPr>
          </w:p>
        </w:tc>
      </w:tr>
      <w:tr w:rsidR="00662425" w14:paraId="48360F98" w14:textId="77777777" w:rsidTr="00C3288A">
        <w:tc>
          <w:tcPr>
            <w:tcW w:w="9360" w:type="dxa"/>
          </w:tcPr>
          <w:p w14:paraId="3B29248B" w14:textId="77777777" w:rsidR="0017725B" w:rsidRDefault="00E254C9" w:rsidP="0062214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46BC569" w14:textId="77777777" w:rsidR="0017725B" w:rsidRDefault="0017725B" w:rsidP="0062214B">
            <w:pPr>
              <w:rPr>
                <w:b/>
                <w:u w:val="single"/>
              </w:rPr>
            </w:pPr>
          </w:p>
          <w:p w14:paraId="217A2305" w14:textId="659E4590" w:rsidR="007E61AB" w:rsidRPr="007E61AB" w:rsidRDefault="00E254C9" w:rsidP="0062214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25A95EA" w14:textId="77777777" w:rsidR="0017725B" w:rsidRPr="0017725B" w:rsidRDefault="0017725B" w:rsidP="0062214B">
            <w:pPr>
              <w:rPr>
                <w:b/>
                <w:u w:val="single"/>
              </w:rPr>
            </w:pPr>
          </w:p>
        </w:tc>
      </w:tr>
      <w:tr w:rsidR="00662425" w14:paraId="328F5A39" w14:textId="77777777" w:rsidTr="00C3288A">
        <w:tc>
          <w:tcPr>
            <w:tcW w:w="9360" w:type="dxa"/>
          </w:tcPr>
          <w:p w14:paraId="5D010F09" w14:textId="77777777" w:rsidR="008423E4" w:rsidRPr="00A8133F" w:rsidRDefault="00E254C9" w:rsidP="0062214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CAABDCA" w14:textId="77777777" w:rsidR="008423E4" w:rsidRDefault="008423E4" w:rsidP="0062214B"/>
          <w:p w14:paraId="6EEF6E49" w14:textId="7266D4AA" w:rsidR="007E61AB" w:rsidRDefault="00E254C9" w:rsidP="006221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department, </w:t>
            </w:r>
            <w:r>
              <w:t>agency, or institution.</w:t>
            </w:r>
          </w:p>
          <w:p w14:paraId="5E425A4E" w14:textId="77777777" w:rsidR="008423E4" w:rsidRPr="00E21FDC" w:rsidRDefault="008423E4" w:rsidP="0062214B">
            <w:pPr>
              <w:rPr>
                <w:b/>
              </w:rPr>
            </w:pPr>
          </w:p>
        </w:tc>
      </w:tr>
      <w:tr w:rsidR="00662425" w14:paraId="17EC8426" w14:textId="77777777" w:rsidTr="00C3288A">
        <w:tc>
          <w:tcPr>
            <w:tcW w:w="9360" w:type="dxa"/>
          </w:tcPr>
          <w:p w14:paraId="40850829" w14:textId="77777777" w:rsidR="008423E4" w:rsidRPr="00A8133F" w:rsidRDefault="00E254C9" w:rsidP="0062214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A96E35D" w14:textId="77777777" w:rsidR="008423E4" w:rsidRDefault="008423E4" w:rsidP="0062214B"/>
          <w:p w14:paraId="65F2B9CC" w14:textId="79C18B61" w:rsidR="006A6126" w:rsidRPr="009C36CD" w:rsidRDefault="00E254C9" w:rsidP="006221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7E61AB">
              <w:t>H.B. 2786 amends the Tax Code</w:t>
            </w:r>
            <w:r w:rsidR="00D26715">
              <w:t xml:space="preserve">, with respect to the written plan the board of directors of an appraisal district must develop biennially for the </w:t>
            </w:r>
            <w:r w:rsidR="00341549">
              <w:t xml:space="preserve">periodic </w:t>
            </w:r>
            <w:r w:rsidR="00D26715">
              <w:t>reappraisal of all property within the boundaries of the district,</w:t>
            </w:r>
            <w:r w:rsidR="004F70C5">
              <w:t xml:space="preserve"> to </w:t>
            </w:r>
            <w:r w:rsidR="00D1338E">
              <w:t xml:space="preserve">require a plan developed </w:t>
            </w:r>
            <w:r w:rsidR="00341549">
              <w:t xml:space="preserve">by the board of directors </w:t>
            </w:r>
            <w:r w:rsidR="00D1338E">
              <w:t xml:space="preserve">for </w:t>
            </w:r>
            <w:r w:rsidR="00D1338E" w:rsidRPr="00D1338E">
              <w:t>a</w:t>
            </w:r>
            <w:r w:rsidR="00341549">
              <w:t>n appraisal</w:t>
            </w:r>
            <w:r w:rsidR="00D1338E">
              <w:t xml:space="preserve"> </w:t>
            </w:r>
            <w:r w:rsidR="00D1338E" w:rsidRPr="00D1338E">
              <w:t>district established in a county with a population of 75,000 or more</w:t>
            </w:r>
            <w:r w:rsidR="00D1338E">
              <w:t xml:space="preserve"> </w:t>
            </w:r>
            <w:r w:rsidR="006D3007">
              <w:t xml:space="preserve">to </w:t>
            </w:r>
            <w:r w:rsidR="006D3007" w:rsidRPr="006D3007">
              <w:t>provide for the annual reappraisal of all property within the boundaries of the district</w:t>
            </w:r>
            <w:r w:rsidR="00892E9A">
              <w:t xml:space="preserve">. The </w:t>
            </w:r>
            <w:r w:rsidR="006D3007">
              <w:t xml:space="preserve">bill requires </w:t>
            </w:r>
            <w:r w:rsidR="009C1D8A">
              <w:t xml:space="preserve">the </w:t>
            </w:r>
            <w:r w:rsidR="009E03D4">
              <w:t xml:space="preserve">plan </w:t>
            </w:r>
            <w:r w:rsidR="00CF64A9">
              <w:t xml:space="preserve">implemented by an applicable appraisal district </w:t>
            </w:r>
            <w:r w:rsidR="001C598F">
              <w:t xml:space="preserve">to </w:t>
            </w:r>
            <w:r w:rsidR="009E03D4">
              <w:t>p</w:t>
            </w:r>
            <w:r w:rsidR="00785408">
              <w:t xml:space="preserve">rovide </w:t>
            </w:r>
            <w:r w:rsidR="00785408" w:rsidRPr="00785408">
              <w:t>for the reappraisal of all real and personal property by the chief appraiser each year</w:t>
            </w:r>
            <w:r w:rsidR="00694417">
              <w:t xml:space="preserve"> and require</w:t>
            </w:r>
            <w:r w:rsidR="00892E9A">
              <w:t>s</w:t>
            </w:r>
            <w:r w:rsidR="00694417">
              <w:t xml:space="preserve"> the</w:t>
            </w:r>
            <w:r w:rsidR="00785408" w:rsidRPr="00785408">
              <w:t xml:space="preserve"> chief appraiser </w:t>
            </w:r>
            <w:r w:rsidR="00694417">
              <w:t>to</w:t>
            </w:r>
            <w:r w:rsidR="00785408" w:rsidRPr="00785408">
              <w:t xml:space="preserve"> use the most recent information obtained through </w:t>
            </w:r>
            <w:r w:rsidR="00694417">
              <w:t>certain</w:t>
            </w:r>
            <w:r w:rsidR="00785408" w:rsidRPr="00785408">
              <w:t xml:space="preserve"> reappraisal activities when performing a reappraisal.</w:t>
            </w:r>
          </w:p>
          <w:p w14:paraId="3E8BE567" w14:textId="77777777" w:rsidR="008423E4" w:rsidRPr="00835628" w:rsidRDefault="008423E4" w:rsidP="0062214B">
            <w:pPr>
              <w:rPr>
                <w:b/>
              </w:rPr>
            </w:pPr>
          </w:p>
        </w:tc>
      </w:tr>
      <w:tr w:rsidR="00662425" w14:paraId="5CA81BC1" w14:textId="77777777" w:rsidTr="00C3288A">
        <w:tc>
          <w:tcPr>
            <w:tcW w:w="9360" w:type="dxa"/>
          </w:tcPr>
          <w:p w14:paraId="67967693" w14:textId="77777777" w:rsidR="008423E4" w:rsidRPr="00A8133F" w:rsidRDefault="00E254C9" w:rsidP="0062214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124FDE44" w14:textId="77777777" w:rsidR="008423E4" w:rsidRDefault="008423E4" w:rsidP="0062214B"/>
          <w:p w14:paraId="1D0E89A8" w14:textId="03DFA1D9" w:rsidR="008423E4" w:rsidRPr="003624F2" w:rsidRDefault="00E254C9" w:rsidP="006221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January 1, 2026.</w:t>
            </w:r>
          </w:p>
          <w:p w14:paraId="51C3B94A" w14:textId="77777777" w:rsidR="008423E4" w:rsidRPr="00233FDB" w:rsidRDefault="008423E4" w:rsidP="0062214B">
            <w:pPr>
              <w:rPr>
                <w:b/>
              </w:rPr>
            </w:pPr>
          </w:p>
        </w:tc>
      </w:tr>
      <w:tr w:rsidR="00662425" w14:paraId="4F17964D" w14:textId="77777777" w:rsidTr="00C3288A">
        <w:tc>
          <w:tcPr>
            <w:tcW w:w="9360" w:type="dxa"/>
          </w:tcPr>
          <w:p w14:paraId="018304CE" w14:textId="77777777" w:rsidR="00175E1B" w:rsidRDefault="00E254C9" w:rsidP="0062214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55DDEB0F" w14:textId="77777777" w:rsidR="00C3288A" w:rsidRDefault="00C3288A" w:rsidP="0062214B">
            <w:pPr>
              <w:jc w:val="both"/>
            </w:pPr>
          </w:p>
          <w:p w14:paraId="43E4021B" w14:textId="07155AE7" w:rsidR="00C3288A" w:rsidRDefault="00E254C9" w:rsidP="0062214B">
            <w:pPr>
              <w:jc w:val="both"/>
            </w:pPr>
            <w:r>
              <w:t xml:space="preserve">While C.S.H.B. </w:t>
            </w:r>
            <w:r w:rsidR="009B53EB">
              <w:t>2786</w:t>
            </w:r>
            <w:r>
              <w:t xml:space="preserve"> may differ from the introduced in minor or nonsubstantive ways, the following summarizes the substantial differences between the introduced and committee substitute versions of </w:t>
            </w:r>
            <w:r>
              <w:t>the bill.</w:t>
            </w:r>
          </w:p>
          <w:p w14:paraId="5A69E848" w14:textId="77777777" w:rsidR="009B53EB" w:rsidRDefault="009B53EB" w:rsidP="0062214B">
            <w:pPr>
              <w:jc w:val="both"/>
            </w:pPr>
          </w:p>
          <w:p w14:paraId="1811B0F6" w14:textId="725E6418" w:rsidR="00E5793C" w:rsidRDefault="00E254C9" w:rsidP="0062214B">
            <w:pPr>
              <w:jc w:val="both"/>
            </w:pPr>
            <w:r>
              <w:t xml:space="preserve">The substitute omits the provision from the introduced that, </w:t>
            </w:r>
            <w:r w:rsidRPr="009B53EB">
              <w:t xml:space="preserve">with respect to the written plan </w:t>
            </w:r>
            <w:r w:rsidR="001C598F">
              <w:t>described by the bill</w:t>
            </w:r>
            <w:r w:rsidRPr="009B53EB">
              <w:t xml:space="preserve">, </w:t>
            </w:r>
            <w:r w:rsidR="00C42132">
              <w:t>changed</w:t>
            </w:r>
            <w:r w:rsidRPr="009B53EB">
              <w:t xml:space="preserve"> the frequency with which the</w:t>
            </w:r>
            <w:r w:rsidR="00F26FD6">
              <w:t xml:space="preserve"> appraisal</w:t>
            </w:r>
            <w:r w:rsidRPr="009B53EB">
              <w:t xml:space="preserve"> district is required to reappraise property under that plan from periodic reappraisal to annual reappraisal and</w:t>
            </w:r>
            <w:r w:rsidR="00ED5D7B">
              <w:t xml:space="preserve"> that</w:t>
            </w:r>
            <w:r w:rsidRPr="009B53EB">
              <w:t xml:space="preserve">, accordingly, </w:t>
            </w:r>
            <w:r w:rsidR="00C42132">
              <w:t>required</w:t>
            </w:r>
            <w:r w:rsidRPr="009B53EB">
              <w:t xml:space="preserve"> each appraisal office to implement that plan annually.</w:t>
            </w:r>
            <w:r w:rsidR="00C42132">
              <w:t xml:space="preserve"> </w:t>
            </w:r>
            <w:r w:rsidR="00341549">
              <w:t>Additionally</w:t>
            </w:r>
            <w:r w:rsidR="00C42132">
              <w:t xml:space="preserve">, the substitute omits the provisions from the introduced </w:t>
            </w:r>
            <w:r w:rsidR="00ED5D7B">
              <w:t>that made</w:t>
            </w:r>
            <w:r w:rsidR="00C42132">
              <w:t xml:space="preserve"> </w:t>
            </w:r>
            <w:r w:rsidR="00C42132" w:rsidRPr="00C42132">
              <w:t xml:space="preserve">conforming changes to reflect the change to the frequency of reappraisal with respect to the </w:t>
            </w:r>
            <w:r>
              <w:t>following statutory provisions relating t</w:t>
            </w:r>
            <w:r>
              <w:t>o:</w:t>
            </w:r>
          </w:p>
          <w:p w14:paraId="01030DB5" w14:textId="2A32D133" w:rsidR="00E5793C" w:rsidRDefault="00E254C9" w:rsidP="0062214B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the </w:t>
            </w:r>
            <w:r w:rsidR="00C42132" w:rsidRPr="00C42132">
              <w:t>temporary exemption for qualified property damaged by a disaster</w:t>
            </w:r>
            <w:r>
              <w:t>;</w:t>
            </w:r>
            <w:r w:rsidR="00C42132" w:rsidRPr="00C42132">
              <w:t xml:space="preserve"> </w:t>
            </w:r>
          </w:p>
          <w:p w14:paraId="5B1AE4D3" w14:textId="72C2BB13" w:rsidR="00E5793C" w:rsidRDefault="00E254C9" w:rsidP="0062214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42132">
              <w:t>the limitation on the appraised value of a residence homestead</w:t>
            </w:r>
            <w:r>
              <w:t>;</w:t>
            </w:r>
            <w:r w:rsidRPr="00C42132">
              <w:t xml:space="preserve"> </w:t>
            </w:r>
            <w:r w:rsidR="00451C7C" w:rsidRPr="00C42132">
              <w:t xml:space="preserve">and </w:t>
            </w:r>
          </w:p>
          <w:p w14:paraId="4CF4E2F4" w14:textId="2BBABFA0" w:rsidR="00E5793C" w:rsidRDefault="00E254C9" w:rsidP="0062214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C42132">
              <w:t xml:space="preserve">the circuit breaker limitation on the </w:t>
            </w:r>
            <w:r w:rsidRPr="00C42132">
              <w:t>appraised value of real property other than a residence homestead</w:t>
            </w:r>
            <w:r w:rsidR="00451C7C">
              <w:t>.</w:t>
            </w:r>
            <w:r w:rsidRPr="00C42132">
              <w:t xml:space="preserve"> </w:t>
            </w:r>
          </w:p>
          <w:p w14:paraId="3F1071C5" w14:textId="42BD308B" w:rsidR="009B53EB" w:rsidRDefault="00E254C9" w:rsidP="0062214B">
            <w:pPr>
              <w:jc w:val="both"/>
            </w:pPr>
            <w:r>
              <w:t xml:space="preserve">The substitute removed from the introduced version, the provision that provided </w:t>
            </w:r>
            <w:r w:rsidR="00C42132" w:rsidRPr="00C42132">
              <w:t xml:space="preserve">that </w:t>
            </w:r>
            <w:r>
              <w:t>those</w:t>
            </w:r>
            <w:r w:rsidRPr="00C42132">
              <w:t xml:space="preserve"> </w:t>
            </w:r>
            <w:r w:rsidR="00C42132" w:rsidRPr="00C42132">
              <w:t>revised provisions apply only to a property tax year that begins on or after the bill's effective date.</w:t>
            </w:r>
          </w:p>
          <w:p w14:paraId="48F06DC4" w14:textId="77777777" w:rsidR="00F8188F" w:rsidRDefault="00F8188F" w:rsidP="0062214B">
            <w:pPr>
              <w:jc w:val="both"/>
            </w:pPr>
          </w:p>
          <w:p w14:paraId="57E8BE41" w14:textId="72E7A03C" w:rsidR="00F8188F" w:rsidRDefault="00E254C9" w:rsidP="0062214B">
            <w:pPr>
              <w:jc w:val="both"/>
            </w:pPr>
            <w:r>
              <w:t xml:space="preserve">The substitute includes a provision absent from the introduced </w:t>
            </w:r>
            <w:r w:rsidR="00F26FD6">
              <w:t xml:space="preserve">requiring </w:t>
            </w:r>
            <w:r w:rsidR="00F26FD6" w:rsidRPr="00F26FD6">
              <w:t xml:space="preserve">a </w:t>
            </w:r>
            <w:r w:rsidR="00F26FD6">
              <w:t xml:space="preserve">written </w:t>
            </w:r>
            <w:r w:rsidR="00F26FD6" w:rsidRPr="00F26FD6">
              <w:t xml:space="preserve">plan developed </w:t>
            </w:r>
            <w:r w:rsidR="00451C7C">
              <w:t xml:space="preserve">by the board of directors </w:t>
            </w:r>
            <w:r w:rsidR="00F26FD6" w:rsidRPr="00F26FD6">
              <w:t>for a</w:t>
            </w:r>
            <w:r w:rsidR="0079328A">
              <w:t>n appraisal</w:t>
            </w:r>
            <w:r w:rsidR="00F26FD6" w:rsidRPr="00F26FD6">
              <w:t xml:space="preserve"> district established in a county with a population of 75,000 or more to provide for the annual reappraisal of all property within the boundaries of the district</w:t>
            </w:r>
            <w:r w:rsidR="00F26FD6">
              <w:t>.</w:t>
            </w:r>
          </w:p>
          <w:p w14:paraId="6B753BF1" w14:textId="77777777" w:rsidR="006F7686" w:rsidRDefault="006F7686" w:rsidP="0062214B">
            <w:pPr>
              <w:jc w:val="both"/>
            </w:pPr>
          </w:p>
          <w:p w14:paraId="370C184F" w14:textId="7AA6C229" w:rsidR="006F7686" w:rsidRDefault="00E254C9" w:rsidP="0062214B">
            <w:pPr>
              <w:jc w:val="both"/>
            </w:pPr>
            <w:r>
              <w:t xml:space="preserve">With respect to the </w:t>
            </w:r>
            <w:r w:rsidR="00BB28D0">
              <w:t xml:space="preserve">introduced version's requirement for the </w:t>
            </w:r>
            <w:r w:rsidR="0079328A">
              <w:t xml:space="preserve">written </w:t>
            </w:r>
            <w:r w:rsidR="00BB28D0">
              <w:t xml:space="preserve">plan to </w:t>
            </w:r>
            <w:r w:rsidR="00BB28D0" w:rsidRPr="00BB28D0">
              <w:t>provide for the reappraisal of all real and personal property by the chief appraiser each year</w:t>
            </w:r>
            <w:r w:rsidR="00B77E35">
              <w:t>,</w:t>
            </w:r>
            <w:r w:rsidR="00BB28D0">
              <w:t xml:space="preserve"> </w:t>
            </w:r>
            <w:r w:rsidR="00CF64A9">
              <w:t xml:space="preserve">the substitute limits the application of the </w:t>
            </w:r>
            <w:r w:rsidR="00BB28D0">
              <w:t xml:space="preserve">requirement </w:t>
            </w:r>
            <w:r w:rsidR="00CF64A9">
              <w:t xml:space="preserve">to a </w:t>
            </w:r>
            <w:r w:rsidR="00BB28D0">
              <w:t xml:space="preserve">plan </w:t>
            </w:r>
            <w:r w:rsidR="00BB28D0" w:rsidRPr="00BB28D0">
              <w:t xml:space="preserve">implemented by an appraisal office for an appraisal district </w:t>
            </w:r>
            <w:r w:rsidR="00F8188F" w:rsidRPr="00F8188F">
              <w:t>established in a county with a population of 75,000 or more</w:t>
            </w:r>
            <w:r w:rsidR="00F8188F">
              <w:t>.</w:t>
            </w:r>
          </w:p>
          <w:p w14:paraId="04F89277" w14:textId="3D8F7764" w:rsidR="00C3288A" w:rsidRPr="00C3288A" w:rsidRDefault="00C3288A" w:rsidP="0062214B">
            <w:pPr>
              <w:jc w:val="both"/>
            </w:pPr>
          </w:p>
        </w:tc>
      </w:tr>
    </w:tbl>
    <w:p w14:paraId="383DAD14" w14:textId="77777777" w:rsidR="008423E4" w:rsidRPr="00BE0E75" w:rsidRDefault="008423E4" w:rsidP="0062214B">
      <w:pPr>
        <w:jc w:val="both"/>
        <w:rPr>
          <w:rFonts w:ascii="Arial" w:hAnsi="Arial"/>
          <w:sz w:val="16"/>
          <w:szCs w:val="16"/>
        </w:rPr>
      </w:pPr>
    </w:p>
    <w:p w14:paraId="3125BCAC" w14:textId="77777777" w:rsidR="004108C3" w:rsidRPr="008423E4" w:rsidRDefault="004108C3" w:rsidP="0062214B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4F57" w14:textId="77777777" w:rsidR="00E254C9" w:rsidRDefault="00E254C9">
      <w:r>
        <w:separator/>
      </w:r>
    </w:p>
  </w:endnote>
  <w:endnote w:type="continuationSeparator" w:id="0">
    <w:p w14:paraId="5B7C753E" w14:textId="77777777" w:rsidR="00E254C9" w:rsidRDefault="00E2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95C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62425" w14:paraId="6A50ECA1" w14:textId="77777777" w:rsidTr="009C1E9A">
      <w:trPr>
        <w:cantSplit/>
      </w:trPr>
      <w:tc>
        <w:tcPr>
          <w:tcW w:w="0" w:type="pct"/>
        </w:tcPr>
        <w:p w14:paraId="3C2E8DF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1088D7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0275D6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1361B9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3CD696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62425" w14:paraId="7E7C7437" w14:textId="77777777" w:rsidTr="009C1E9A">
      <w:trPr>
        <w:cantSplit/>
      </w:trPr>
      <w:tc>
        <w:tcPr>
          <w:tcW w:w="0" w:type="pct"/>
        </w:tcPr>
        <w:p w14:paraId="3D92CB6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39141D9" w14:textId="43077542" w:rsidR="00EC379B" w:rsidRPr="009C1E9A" w:rsidRDefault="00E254C9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26530-D</w:t>
          </w:r>
        </w:p>
      </w:tc>
      <w:tc>
        <w:tcPr>
          <w:tcW w:w="2453" w:type="pct"/>
        </w:tcPr>
        <w:p w14:paraId="3697F41B" w14:textId="491C7C8D" w:rsidR="00EC379B" w:rsidRDefault="00E254C9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24C26">
            <w:t>25.117.126</w:t>
          </w:r>
          <w:r>
            <w:fldChar w:fldCharType="end"/>
          </w:r>
        </w:p>
      </w:tc>
    </w:tr>
    <w:tr w:rsidR="00662425" w14:paraId="3E528C71" w14:textId="77777777" w:rsidTr="009C1E9A">
      <w:trPr>
        <w:cantSplit/>
      </w:trPr>
      <w:tc>
        <w:tcPr>
          <w:tcW w:w="0" w:type="pct"/>
        </w:tcPr>
        <w:p w14:paraId="07835BF8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56BE17B" w14:textId="76FB7B70" w:rsidR="00EC379B" w:rsidRPr="009C1E9A" w:rsidRDefault="00E254C9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21800</w:t>
          </w:r>
        </w:p>
      </w:tc>
      <w:tc>
        <w:tcPr>
          <w:tcW w:w="2453" w:type="pct"/>
        </w:tcPr>
        <w:p w14:paraId="26B601DA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F71DDB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62425" w14:paraId="4B6EABCB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FE2AD47" w14:textId="77777777" w:rsidR="00EC379B" w:rsidRDefault="00E254C9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361E820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FC16A80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A73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048C" w14:textId="77777777" w:rsidR="00E254C9" w:rsidRDefault="00E254C9">
      <w:r>
        <w:separator/>
      </w:r>
    </w:p>
  </w:footnote>
  <w:footnote w:type="continuationSeparator" w:id="0">
    <w:p w14:paraId="73449025" w14:textId="77777777" w:rsidR="00E254C9" w:rsidRDefault="00E2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68A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F5FF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F215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56C3"/>
    <w:multiLevelType w:val="hybridMultilevel"/>
    <w:tmpl w:val="78605A74"/>
    <w:lvl w:ilvl="0" w:tplc="836E7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62C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0644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04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67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8B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E9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04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65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97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AB"/>
    <w:rsid w:val="00000A70"/>
    <w:rsid w:val="00001B65"/>
    <w:rsid w:val="000032B8"/>
    <w:rsid w:val="00003B06"/>
    <w:rsid w:val="000054B9"/>
    <w:rsid w:val="00007461"/>
    <w:rsid w:val="0001117E"/>
    <w:rsid w:val="0001125F"/>
    <w:rsid w:val="0001195C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230"/>
    <w:rsid w:val="00080D95"/>
    <w:rsid w:val="00090E6B"/>
    <w:rsid w:val="00091B2C"/>
    <w:rsid w:val="00092ABC"/>
    <w:rsid w:val="00097AAF"/>
    <w:rsid w:val="00097D13"/>
    <w:rsid w:val="000A2673"/>
    <w:rsid w:val="000A28D2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2AC4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2763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5E1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577"/>
    <w:rsid w:val="001B26D8"/>
    <w:rsid w:val="001B3BFA"/>
    <w:rsid w:val="001B75B8"/>
    <w:rsid w:val="001C1230"/>
    <w:rsid w:val="001C598F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1B59"/>
    <w:rsid w:val="001F375D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14C"/>
    <w:rsid w:val="0023341D"/>
    <w:rsid w:val="002338DA"/>
    <w:rsid w:val="00233D66"/>
    <w:rsid w:val="00233FDB"/>
    <w:rsid w:val="00234F58"/>
    <w:rsid w:val="0023507D"/>
    <w:rsid w:val="0023585E"/>
    <w:rsid w:val="0024077A"/>
    <w:rsid w:val="00241EC1"/>
    <w:rsid w:val="002431DA"/>
    <w:rsid w:val="0024691D"/>
    <w:rsid w:val="00247C66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6F1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1549"/>
    <w:rsid w:val="003427C9"/>
    <w:rsid w:val="00343A92"/>
    <w:rsid w:val="00344530"/>
    <w:rsid w:val="003446DC"/>
    <w:rsid w:val="00347B4A"/>
    <w:rsid w:val="003500C3"/>
    <w:rsid w:val="003523BD"/>
    <w:rsid w:val="00352681"/>
    <w:rsid w:val="00352AEA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3F7B73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4C26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50B"/>
    <w:rsid w:val="00451C7C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61BF"/>
    <w:rsid w:val="004C7888"/>
    <w:rsid w:val="004D1AC9"/>
    <w:rsid w:val="004D27DE"/>
    <w:rsid w:val="004D36F6"/>
    <w:rsid w:val="004D3F41"/>
    <w:rsid w:val="004D5098"/>
    <w:rsid w:val="004D6497"/>
    <w:rsid w:val="004E0E60"/>
    <w:rsid w:val="004E12A3"/>
    <w:rsid w:val="004E1EF1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4F70C5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1D7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0446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214B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425"/>
    <w:rsid w:val="00662B77"/>
    <w:rsid w:val="00662D0E"/>
    <w:rsid w:val="00663265"/>
    <w:rsid w:val="0066345F"/>
    <w:rsid w:val="0066485B"/>
    <w:rsid w:val="0067036E"/>
    <w:rsid w:val="00671693"/>
    <w:rsid w:val="006757AA"/>
    <w:rsid w:val="0068053F"/>
    <w:rsid w:val="0068127E"/>
    <w:rsid w:val="00681790"/>
    <w:rsid w:val="006823AA"/>
    <w:rsid w:val="0068302A"/>
    <w:rsid w:val="00684B98"/>
    <w:rsid w:val="00685156"/>
    <w:rsid w:val="00685DC9"/>
    <w:rsid w:val="00687465"/>
    <w:rsid w:val="006907CF"/>
    <w:rsid w:val="00691CCF"/>
    <w:rsid w:val="00693AFA"/>
    <w:rsid w:val="00694417"/>
    <w:rsid w:val="00695101"/>
    <w:rsid w:val="00695B9A"/>
    <w:rsid w:val="00696563"/>
    <w:rsid w:val="006979F8"/>
    <w:rsid w:val="006A3487"/>
    <w:rsid w:val="006A6068"/>
    <w:rsid w:val="006A6126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3007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6F7686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5ECB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408"/>
    <w:rsid w:val="0078552A"/>
    <w:rsid w:val="00785729"/>
    <w:rsid w:val="00786058"/>
    <w:rsid w:val="0079328A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2C70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E61AB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6439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081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0B"/>
    <w:rsid w:val="008845BA"/>
    <w:rsid w:val="00884AE3"/>
    <w:rsid w:val="00885203"/>
    <w:rsid w:val="008859CA"/>
    <w:rsid w:val="008861EE"/>
    <w:rsid w:val="00890B59"/>
    <w:rsid w:val="00892E9A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22A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53EB"/>
    <w:rsid w:val="009B69AD"/>
    <w:rsid w:val="009B7806"/>
    <w:rsid w:val="009B7A9D"/>
    <w:rsid w:val="009C05C1"/>
    <w:rsid w:val="009C1D8A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03D4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0F18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1B19"/>
    <w:rsid w:val="00B149AC"/>
    <w:rsid w:val="00B14BD2"/>
    <w:rsid w:val="00B1557F"/>
    <w:rsid w:val="00B1668D"/>
    <w:rsid w:val="00B1684E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3735D"/>
    <w:rsid w:val="00B43672"/>
    <w:rsid w:val="00B473D8"/>
    <w:rsid w:val="00B47464"/>
    <w:rsid w:val="00B5165A"/>
    <w:rsid w:val="00B524C1"/>
    <w:rsid w:val="00B52C8D"/>
    <w:rsid w:val="00B564BF"/>
    <w:rsid w:val="00B60059"/>
    <w:rsid w:val="00B6104E"/>
    <w:rsid w:val="00B610C7"/>
    <w:rsid w:val="00B62106"/>
    <w:rsid w:val="00B626A8"/>
    <w:rsid w:val="00B65695"/>
    <w:rsid w:val="00B66526"/>
    <w:rsid w:val="00B665A3"/>
    <w:rsid w:val="00B73BB4"/>
    <w:rsid w:val="00B77E35"/>
    <w:rsid w:val="00B80532"/>
    <w:rsid w:val="00B82039"/>
    <w:rsid w:val="00B821D6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1B5B"/>
    <w:rsid w:val="00BB28D0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0F3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125"/>
    <w:rsid w:val="00C22987"/>
    <w:rsid w:val="00C23956"/>
    <w:rsid w:val="00C248E6"/>
    <w:rsid w:val="00C2766F"/>
    <w:rsid w:val="00C3223B"/>
    <w:rsid w:val="00C3288A"/>
    <w:rsid w:val="00C333C6"/>
    <w:rsid w:val="00C35CC5"/>
    <w:rsid w:val="00C361C5"/>
    <w:rsid w:val="00C377D1"/>
    <w:rsid w:val="00C37BDA"/>
    <w:rsid w:val="00C37C84"/>
    <w:rsid w:val="00C42132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5CB1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17D0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64A9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338E"/>
    <w:rsid w:val="00D17D70"/>
    <w:rsid w:val="00D22160"/>
    <w:rsid w:val="00D22172"/>
    <w:rsid w:val="00D2301B"/>
    <w:rsid w:val="00D239EE"/>
    <w:rsid w:val="00D26715"/>
    <w:rsid w:val="00D30534"/>
    <w:rsid w:val="00D35728"/>
    <w:rsid w:val="00D359A7"/>
    <w:rsid w:val="00D37BCF"/>
    <w:rsid w:val="00D40B61"/>
    <w:rsid w:val="00D40F93"/>
    <w:rsid w:val="00D41CEA"/>
    <w:rsid w:val="00D42277"/>
    <w:rsid w:val="00D43C59"/>
    <w:rsid w:val="00D44033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147D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4C9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562A4"/>
    <w:rsid w:val="00E5793C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96E64"/>
    <w:rsid w:val="00EA16AC"/>
    <w:rsid w:val="00EA385A"/>
    <w:rsid w:val="00EA3931"/>
    <w:rsid w:val="00EA658E"/>
    <w:rsid w:val="00EA7A88"/>
    <w:rsid w:val="00EB27F2"/>
    <w:rsid w:val="00EB37AB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5D7B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6FD6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18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C7866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CA5A30-BE31-4635-82D9-FE2FBEBA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E61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6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61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6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61AB"/>
    <w:rPr>
      <w:b/>
      <w:bCs/>
    </w:rPr>
  </w:style>
  <w:style w:type="paragraph" w:styleId="Revision">
    <w:name w:val="Revision"/>
    <w:hidden/>
    <w:uiPriority w:val="99"/>
    <w:semiHidden/>
    <w:rsid w:val="004F70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793C"/>
    <w:pPr>
      <w:ind w:left="720"/>
      <w:contextualSpacing/>
    </w:pPr>
  </w:style>
  <w:style w:type="character" w:styleId="Hyperlink">
    <w:name w:val="Hyperlink"/>
    <w:basedOn w:val="DefaultParagraphFont"/>
    <w:unhideWhenUsed/>
    <w:rsid w:val="00BB1B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3622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HB02786 (Committee Report (Substituted))</vt:lpstr>
    </vt:vector>
  </TitlesOfParts>
  <Company>State of Texas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26530</dc:subject>
  <dc:creator>State of Texas</dc:creator>
  <dc:description>HB 2786 by Turner-(H)Ways &amp; Means (Substitute Document Number: 89R 21800)</dc:description>
  <cp:lastModifiedBy>Thomas Weis</cp:lastModifiedBy>
  <cp:revision>2</cp:revision>
  <cp:lastPrinted>2003-11-26T17:21:00Z</cp:lastPrinted>
  <dcterms:created xsi:type="dcterms:W3CDTF">2025-05-05T22:39:00Z</dcterms:created>
  <dcterms:modified xsi:type="dcterms:W3CDTF">2025-05-05T22:39:00Z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25.117.126</vt:lpwstr>
  </property>
</Properties>
</file>