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C82D80" w14:paraId="308FB58A" w14:textId="77777777" w:rsidTr="00345119">
        <w:tc>
          <w:tcPr>
            <w:tcW w:w="9576" w:type="dxa"/>
            <w:noWrap/>
          </w:tcPr>
          <w:p w14:paraId="648DD776" w14:textId="77777777" w:rsidR="008423E4" w:rsidRPr="0022177D" w:rsidRDefault="0002245F" w:rsidP="00026B43">
            <w:pPr>
              <w:pStyle w:val="Heading1"/>
            </w:pPr>
            <w:r w:rsidRPr="00631897">
              <w:t>BILL ANALYSIS</w:t>
            </w:r>
          </w:p>
        </w:tc>
      </w:tr>
    </w:tbl>
    <w:p w14:paraId="143449A6" w14:textId="77777777" w:rsidR="008423E4" w:rsidRPr="0022177D" w:rsidRDefault="008423E4" w:rsidP="00026B43">
      <w:pPr>
        <w:jc w:val="center"/>
      </w:pPr>
    </w:p>
    <w:p w14:paraId="34FA28F7" w14:textId="77777777" w:rsidR="008423E4" w:rsidRPr="00B31F0E" w:rsidRDefault="008423E4" w:rsidP="00026B43"/>
    <w:p w14:paraId="7C026664" w14:textId="77777777" w:rsidR="008423E4" w:rsidRPr="00742794" w:rsidRDefault="008423E4" w:rsidP="00026B43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82D80" w14:paraId="57A7A361" w14:textId="77777777" w:rsidTr="00345119">
        <w:tc>
          <w:tcPr>
            <w:tcW w:w="9576" w:type="dxa"/>
          </w:tcPr>
          <w:p w14:paraId="031F024B" w14:textId="78ED2C5A" w:rsidR="008423E4" w:rsidRPr="00861995" w:rsidRDefault="0002245F" w:rsidP="00026B43">
            <w:pPr>
              <w:jc w:val="right"/>
            </w:pPr>
            <w:r>
              <w:t>C.S.H.B. 3041</w:t>
            </w:r>
          </w:p>
        </w:tc>
      </w:tr>
      <w:tr w:rsidR="00C82D80" w14:paraId="3796BAD9" w14:textId="77777777" w:rsidTr="00345119">
        <w:tc>
          <w:tcPr>
            <w:tcW w:w="9576" w:type="dxa"/>
          </w:tcPr>
          <w:p w14:paraId="5533998E" w14:textId="23010E35" w:rsidR="008423E4" w:rsidRPr="00861995" w:rsidRDefault="0002245F" w:rsidP="00026B43">
            <w:pPr>
              <w:jc w:val="right"/>
            </w:pPr>
            <w:r>
              <w:t xml:space="preserve">By: </w:t>
            </w:r>
            <w:r w:rsidR="00801326">
              <w:t>Paul</w:t>
            </w:r>
          </w:p>
        </w:tc>
      </w:tr>
      <w:tr w:rsidR="00C82D80" w14:paraId="6665A901" w14:textId="77777777" w:rsidTr="00345119">
        <w:tc>
          <w:tcPr>
            <w:tcW w:w="9576" w:type="dxa"/>
          </w:tcPr>
          <w:p w14:paraId="2C8ADDA4" w14:textId="0B346944" w:rsidR="008423E4" w:rsidRPr="00861995" w:rsidRDefault="0002245F" w:rsidP="00026B43">
            <w:pPr>
              <w:jc w:val="right"/>
            </w:pPr>
            <w:r>
              <w:t>Higher Education</w:t>
            </w:r>
          </w:p>
        </w:tc>
      </w:tr>
      <w:tr w:rsidR="00C82D80" w14:paraId="68F6BB74" w14:textId="77777777" w:rsidTr="00345119">
        <w:tc>
          <w:tcPr>
            <w:tcW w:w="9576" w:type="dxa"/>
          </w:tcPr>
          <w:p w14:paraId="65116FB1" w14:textId="5DFE3DDA" w:rsidR="008423E4" w:rsidRDefault="0002245F" w:rsidP="00026B43">
            <w:pPr>
              <w:jc w:val="right"/>
            </w:pPr>
            <w:r>
              <w:t>Committee Report (Substituted)</w:t>
            </w:r>
          </w:p>
        </w:tc>
      </w:tr>
    </w:tbl>
    <w:p w14:paraId="5C824F65" w14:textId="77777777" w:rsidR="008423E4" w:rsidRDefault="008423E4" w:rsidP="00026B43">
      <w:pPr>
        <w:tabs>
          <w:tab w:val="right" w:pos="9360"/>
        </w:tabs>
      </w:pPr>
    </w:p>
    <w:p w14:paraId="0E2CB202" w14:textId="77777777" w:rsidR="008423E4" w:rsidRDefault="008423E4" w:rsidP="00026B43"/>
    <w:p w14:paraId="63B5A1CF" w14:textId="77777777" w:rsidR="008423E4" w:rsidRDefault="008423E4" w:rsidP="00026B43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C82D80" w14:paraId="4C238016" w14:textId="77777777" w:rsidTr="00436805">
        <w:tc>
          <w:tcPr>
            <w:tcW w:w="9360" w:type="dxa"/>
          </w:tcPr>
          <w:p w14:paraId="4A0D6D0C" w14:textId="77777777" w:rsidR="008423E4" w:rsidRPr="00A8133F" w:rsidRDefault="0002245F" w:rsidP="00026B4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01D3FF4" w14:textId="77777777" w:rsidR="008423E4" w:rsidRDefault="008423E4" w:rsidP="00026B43"/>
          <w:p w14:paraId="187FCBC6" w14:textId="02595135" w:rsidR="00184915" w:rsidRDefault="0002245F" w:rsidP="00026B43">
            <w:pPr>
              <w:pStyle w:val="Header"/>
              <w:jc w:val="both"/>
            </w:pPr>
            <w:r>
              <w:t>Last session</w:t>
            </w:r>
            <w:r w:rsidRPr="00487B04">
              <w:t xml:space="preserve">, the legislature </w:t>
            </w:r>
            <w:r>
              <w:t xml:space="preserve">enacted </w:t>
            </w:r>
            <w:r w:rsidRPr="00487B04">
              <w:t>H</w:t>
            </w:r>
            <w:r>
              <w:t>.</w:t>
            </w:r>
            <w:r w:rsidRPr="00487B04">
              <w:t>B</w:t>
            </w:r>
            <w:r>
              <w:t>.</w:t>
            </w:r>
            <w:r w:rsidRPr="00487B04">
              <w:t xml:space="preserve"> 3993</w:t>
            </w:r>
            <w:r w:rsidR="00162892">
              <w:t>,</w:t>
            </w:r>
            <w:r w:rsidRPr="00487B04">
              <w:t xml:space="preserve"> </w:t>
            </w:r>
            <w:r>
              <w:t>which</w:t>
            </w:r>
            <w:r w:rsidRPr="00487B04">
              <w:t xml:space="preserve"> amended the </w:t>
            </w:r>
            <w:r w:rsidR="00162892">
              <w:t>"</w:t>
            </w:r>
            <w:r w:rsidRPr="00487B04">
              <w:t>top 10</w:t>
            </w:r>
            <w:r w:rsidR="00162892">
              <w:t xml:space="preserve"> percent</w:t>
            </w:r>
            <w:r w:rsidRPr="00487B04">
              <w:t xml:space="preserve"> rule</w:t>
            </w:r>
            <w:r w:rsidR="00162892">
              <w:t>"</w:t>
            </w:r>
            <w:r w:rsidRPr="00487B04">
              <w:t xml:space="preserve"> to </w:t>
            </w:r>
            <w:r>
              <w:t xml:space="preserve">require </w:t>
            </w:r>
            <w:r w:rsidRPr="00487B04">
              <w:t xml:space="preserve">a general academic </w:t>
            </w:r>
            <w:r w:rsidRPr="00487B04">
              <w:t>teaching institution</w:t>
            </w:r>
            <w:r>
              <w:t xml:space="preserve"> to</w:t>
            </w:r>
            <w:r w:rsidRPr="00487B04">
              <w:t xml:space="preserve"> calculate </w:t>
            </w:r>
            <w:r w:rsidR="00162892">
              <w:t xml:space="preserve">the class rank of an </w:t>
            </w:r>
            <w:r w:rsidR="00B6747C">
              <w:t xml:space="preserve">applicant with </w:t>
            </w:r>
            <w:r w:rsidR="00B6747C" w:rsidRPr="00B6747C">
              <w:t>a nontraditional secondary education</w:t>
            </w:r>
            <w:r w:rsidR="00162892">
              <w:t xml:space="preserve"> </w:t>
            </w:r>
            <w:r w:rsidR="00BB532D">
              <w:t>that does not include a high school graduating class ranking using</w:t>
            </w:r>
            <w:r w:rsidR="002F53CF">
              <w:t xml:space="preserve"> the average </w:t>
            </w:r>
            <w:r w:rsidR="002F53CF" w:rsidRPr="002F53CF">
              <w:t>high school graduating class rank of</w:t>
            </w:r>
            <w:r w:rsidR="002F53CF">
              <w:t xml:space="preserve"> applicants who have equivalent </w:t>
            </w:r>
            <w:r w:rsidR="002F53CF" w:rsidRPr="002F53CF">
              <w:t>standardized testing scores</w:t>
            </w:r>
            <w:r w:rsidR="00B6747C">
              <w:t>.</w:t>
            </w:r>
            <w:r w:rsidR="002F53CF">
              <w:t xml:space="preserve"> However, t</w:t>
            </w:r>
            <w:r w:rsidR="002D16B9">
              <w:t xml:space="preserve">he </w:t>
            </w:r>
            <w:r>
              <w:t xml:space="preserve">bill </w:t>
            </w:r>
            <w:r w:rsidR="002D16B9">
              <w:t xml:space="preserve">author has informed the committee that </w:t>
            </w:r>
            <w:r w:rsidR="00C937F5">
              <w:t>the acceptance policies for the highly selective general academic teaching ins</w:t>
            </w:r>
            <w:r w:rsidR="002D16B9">
              <w:t>t</w:t>
            </w:r>
            <w:r w:rsidR="00C937F5">
              <w:t xml:space="preserve">itutions </w:t>
            </w:r>
            <w:r w:rsidR="00021C47">
              <w:t xml:space="preserve">in Texas </w:t>
            </w:r>
            <w:r w:rsidR="00864E0D">
              <w:t xml:space="preserve">are </w:t>
            </w:r>
            <w:r w:rsidR="00021C47">
              <w:t>unfairly skewed against home-schooled students</w:t>
            </w:r>
            <w:r w:rsidR="008B706A" w:rsidRPr="008B706A">
              <w:t xml:space="preserve">—often requiring </w:t>
            </w:r>
            <w:r w:rsidR="00273C8A">
              <w:t xml:space="preserve">the student </w:t>
            </w:r>
            <w:r w:rsidR="008B706A" w:rsidRPr="008B706A">
              <w:t xml:space="preserve">to score in the top </w:t>
            </w:r>
            <w:r w:rsidR="00012651">
              <w:t>one</w:t>
            </w:r>
            <w:r w:rsidR="009F7E4E">
              <w:t xml:space="preserve"> percent</w:t>
            </w:r>
            <w:r w:rsidR="008B706A" w:rsidRPr="008B706A">
              <w:t xml:space="preserve"> on the SAT to qualify for automatic admission.</w:t>
            </w:r>
            <w:r>
              <w:t xml:space="preserve"> </w:t>
            </w:r>
            <w:r w:rsidR="004F2C52">
              <w:t>C.S.H.B.</w:t>
            </w:r>
            <w:r w:rsidR="008B706A" w:rsidRPr="008B706A">
              <w:t xml:space="preserve"> 3041 </w:t>
            </w:r>
            <w:r w:rsidR="002D16B9">
              <w:t xml:space="preserve">seeks to </w:t>
            </w:r>
            <w:r w:rsidR="00021C47">
              <w:t xml:space="preserve">ensure that </w:t>
            </w:r>
            <w:r w:rsidR="008B706A" w:rsidRPr="008B706A">
              <w:t>students from nontraditional education</w:t>
            </w:r>
            <w:r w:rsidR="008A1236">
              <w:t>al</w:t>
            </w:r>
            <w:r w:rsidR="008B706A" w:rsidRPr="008B706A">
              <w:t xml:space="preserve"> backgrounds are fairly compared to their public school peers</w:t>
            </w:r>
            <w:r w:rsidR="00021C47">
              <w:t xml:space="preserve"> and have </w:t>
            </w:r>
            <w:r w:rsidR="00C74039">
              <w:t>equal</w:t>
            </w:r>
            <w:r>
              <w:t xml:space="preserve"> access to certain state-funded scholarships. </w:t>
            </w:r>
          </w:p>
          <w:p w14:paraId="7940F5D2" w14:textId="77777777" w:rsidR="008423E4" w:rsidRPr="00E26B13" w:rsidRDefault="008423E4" w:rsidP="00026B43">
            <w:pPr>
              <w:rPr>
                <w:b/>
              </w:rPr>
            </w:pPr>
          </w:p>
        </w:tc>
      </w:tr>
      <w:tr w:rsidR="00C82D80" w14:paraId="62D7CDC9" w14:textId="77777777" w:rsidTr="00436805">
        <w:tc>
          <w:tcPr>
            <w:tcW w:w="9360" w:type="dxa"/>
          </w:tcPr>
          <w:p w14:paraId="08F59D25" w14:textId="77777777" w:rsidR="0017725B" w:rsidRDefault="0002245F" w:rsidP="00026B4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519A3D0D" w14:textId="77777777" w:rsidR="0017725B" w:rsidRDefault="0017725B" w:rsidP="00026B43">
            <w:pPr>
              <w:rPr>
                <w:b/>
                <w:u w:val="single"/>
              </w:rPr>
            </w:pPr>
          </w:p>
          <w:p w14:paraId="6F0B3D64" w14:textId="1D3F0D2E" w:rsidR="0077772E" w:rsidRPr="0077772E" w:rsidRDefault="0002245F" w:rsidP="00026B43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1882893E" w14:textId="77777777" w:rsidR="0017725B" w:rsidRPr="0017725B" w:rsidRDefault="0017725B" w:rsidP="00026B43">
            <w:pPr>
              <w:rPr>
                <w:b/>
                <w:u w:val="single"/>
              </w:rPr>
            </w:pPr>
          </w:p>
        </w:tc>
      </w:tr>
      <w:tr w:rsidR="00C82D80" w14:paraId="15D51E89" w14:textId="77777777" w:rsidTr="00436805">
        <w:tc>
          <w:tcPr>
            <w:tcW w:w="9360" w:type="dxa"/>
          </w:tcPr>
          <w:p w14:paraId="0BFE960D" w14:textId="77777777" w:rsidR="008423E4" w:rsidRPr="00A8133F" w:rsidRDefault="0002245F" w:rsidP="00026B4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0CF3821" w14:textId="77777777" w:rsidR="008423E4" w:rsidRDefault="008423E4" w:rsidP="00026B43"/>
          <w:p w14:paraId="397E3924" w14:textId="3A62E036" w:rsidR="0077772E" w:rsidRDefault="0002245F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3C68A6D5" w14:textId="77777777" w:rsidR="008423E4" w:rsidRPr="00E21FDC" w:rsidRDefault="008423E4" w:rsidP="00026B43">
            <w:pPr>
              <w:rPr>
                <w:b/>
              </w:rPr>
            </w:pPr>
          </w:p>
        </w:tc>
      </w:tr>
      <w:tr w:rsidR="00C82D80" w14:paraId="0A1D56B9" w14:textId="77777777" w:rsidTr="00436805">
        <w:tc>
          <w:tcPr>
            <w:tcW w:w="9360" w:type="dxa"/>
          </w:tcPr>
          <w:p w14:paraId="2C01297D" w14:textId="77777777" w:rsidR="008423E4" w:rsidRPr="00A8133F" w:rsidRDefault="0002245F" w:rsidP="00026B4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3A17155" w14:textId="77777777" w:rsidR="008423E4" w:rsidRDefault="008423E4" w:rsidP="00026B43"/>
          <w:p w14:paraId="438BE842" w14:textId="378D104F" w:rsidR="0022538A" w:rsidRDefault="0002245F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C.S.H.B.</w:t>
            </w:r>
            <w:r w:rsidR="006552FC">
              <w:t xml:space="preserve"> 3041 amends the </w:t>
            </w:r>
            <w:r w:rsidR="006552FC" w:rsidRPr="006552FC">
              <w:t>Education Code</w:t>
            </w:r>
            <w:r w:rsidR="005402FE">
              <w:t xml:space="preserve"> to </w:t>
            </w:r>
            <w:r w:rsidR="00470E4B" w:rsidRPr="00470E4B">
              <w:t>require The University of Texas at Austin (UT Austin)</w:t>
            </w:r>
            <w:r w:rsidR="00534EDF">
              <w:t xml:space="preserve">, with respect </w:t>
            </w:r>
            <w:r w:rsidR="002A38C2">
              <w:t xml:space="preserve">to its exemption from the automatic admission requirement </w:t>
            </w:r>
            <w:r w:rsidR="002A38C2" w:rsidRPr="002A38C2">
              <w:t xml:space="preserve">in excess of the number required to fill 75 percent of </w:t>
            </w:r>
            <w:r w:rsidR="002A38C2">
              <w:t>UT Austin's</w:t>
            </w:r>
            <w:r w:rsidR="002A38C2" w:rsidRPr="002A38C2">
              <w:t xml:space="preserve"> enrollment capacity designated for first</w:t>
            </w:r>
            <w:r w:rsidR="00D75F1C">
              <w:noBreakHyphen/>
            </w:r>
            <w:r w:rsidR="002A38C2" w:rsidRPr="002A38C2">
              <w:t>time resident undergraduate students in an academic year</w:t>
            </w:r>
            <w:r w:rsidR="002A38C2">
              <w:t xml:space="preserve">, </w:t>
            </w:r>
            <w:r w:rsidR="00470E4B" w:rsidRPr="00470E4B">
              <w:t>to</w:t>
            </w:r>
            <w:r>
              <w:t xml:space="preserve"> do the following</w:t>
            </w:r>
            <w:r w:rsidR="0052658C">
              <w:t xml:space="preserve"> if UT Austin elects to </w:t>
            </w:r>
            <w:r w:rsidR="0052658C" w:rsidRPr="0052658C">
              <w:t>offer admission</w:t>
            </w:r>
            <w:r w:rsidR="0052658C">
              <w:t xml:space="preserve"> in excess of </w:t>
            </w:r>
            <w:r w:rsidR="00711F0F">
              <w:t>that percentage</w:t>
            </w:r>
            <w:r>
              <w:t>:</w:t>
            </w:r>
          </w:p>
          <w:p w14:paraId="22C993EA" w14:textId="68A8BA2E" w:rsidR="005402FE" w:rsidRDefault="0002245F" w:rsidP="00026B43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both"/>
            </w:pPr>
            <w:r w:rsidRPr="00470E4B">
              <w:t>offer admission to qualifying applicants who completed a nontraditional secondary education</w:t>
            </w:r>
            <w:r>
              <w:t xml:space="preserve"> and</w:t>
            </w:r>
            <w:r w:rsidRPr="00470E4B">
              <w:t xml:space="preserve"> whose score on a standardized test on a college entrance examination meets or exceeds a benchmark test score set by UT Austin instead of offering admission to such applicants by high school graduating class percentile rank</w:t>
            </w:r>
            <w:r w:rsidR="0022538A">
              <w:t xml:space="preserve">; </w:t>
            </w:r>
          </w:p>
          <w:p w14:paraId="09359D59" w14:textId="166C4B2A" w:rsidR="00A125B9" w:rsidRDefault="0002245F" w:rsidP="00026B43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both"/>
            </w:pPr>
            <w:r w:rsidRPr="00A125B9">
              <w:t xml:space="preserve">set the benchmark test score </w:t>
            </w:r>
            <w:r w:rsidR="00106A6C">
              <w:t xml:space="preserve">to be used for such purposes </w:t>
            </w:r>
            <w:r w:rsidRPr="00A125B9">
              <w:t xml:space="preserve">for an academic year based on the standardized test scores on a college entrance examination of applicants to </w:t>
            </w:r>
            <w:r>
              <w:t xml:space="preserve">UT Austin </w:t>
            </w:r>
            <w:r w:rsidRPr="00A125B9">
              <w:t xml:space="preserve">who completed a nontraditional secondary education and who were offered </w:t>
            </w:r>
            <w:r w:rsidR="007F1B49">
              <w:t xml:space="preserve">automatic </w:t>
            </w:r>
            <w:r w:rsidRPr="00A125B9">
              <w:t>admission in the academic year preceding the academic year by two years and in a manner designed to ensure that the percent of applicants who completed a nontraditional secondary education and who are offered</w:t>
            </w:r>
            <w:r w:rsidR="007F1B49">
              <w:t xml:space="preserve"> automatic</w:t>
            </w:r>
            <w:r w:rsidRPr="00A125B9">
              <w:t xml:space="preserve"> admission for an academic year will be the same as the percent</w:t>
            </w:r>
            <w:r w:rsidRPr="00A125B9">
              <w:t xml:space="preserve"> of applicants who completed a traditional secondary education and who are offered </w:t>
            </w:r>
            <w:r w:rsidR="00571931">
              <w:t xml:space="preserve">such </w:t>
            </w:r>
            <w:r w:rsidRPr="00A125B9">
              <w:t>admission</w:t>
            </w:r>
            <w:r w:rsidR="00571931">
              <w:t xml:space="preserve"> </w:t>
            </w:r>
            <w:r w:rsidRPr="00A125B9">
              <w:t>for that year</w:t>
            </w:r>
            <w:r w:rsidR="00711F0F">
              <w:t xml:space="preserve">; and </w:t>
            </w:r>
          </w:p>
          <w:p w14:paraId="6F98FF24" w14:textId="39B76711" w:rsidR="00711F0F" w:rsidRDefault="0002245F" w:rsidP="00026B43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both"/>
            </w:pPr>
            <w:r w:rsidRPr="00711F0F">
              <w:t>in the manner prescribed by the Texas Education Agency and not later than September</w:t>
            </w:r>
            <w:r w:rsidR="00680C2A">
              <w:t> </w:t>
            </w:r>
            <w:r w:rsidRPr="00711F0F">
              <w:t>15, provide to each</w:t>
            </w:r>
            <w:r>
              <w:t xml:space="preserve"> public</w:t>
            </w:r>
            <w:r w:rsidRPr="00711F0F">
              <w:t xml:space="preserve"> school district, for dissemination of the information to high school junior-level students and their parents, notice of</w:t>
            </w:r>
            <w:r>
              <w:t xml:space="preserve"> </w:t>
            </w:r>
            <w:r w:rsidRPr="00711F0F">
              <w:t xml:space="preserve">what benchmark test score will be used by </w:t>
            </w:r>
            <w:r>
              <w:t>UT Austin</w:t>
            </w:r>
            <w:r w:rsidRPr="00711F0F">
              <w:t xml:space="preserve"> to offer admission </w:t>
            </w:r>
            <w:r>
              <w:t>in excess of that percentage</w:t>
            </w:r>
            <w:r w:rsidRPr="00711F0F">
              <w:t xml:space="preserve"> during the next school year to students who qualify for automatic admission and who complete a nontraditional secondary education.</w:t>
            </w:r>
          </w:p>
          <w:p w14:paraId="44868DA1" w14:textId="4EC4830E" w:rsidR="00D765E7" w:rsidRDefault="0002245F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specifies that</w:t>
            </w:r>
            <w:r w:rsidR="00C32F4D">
              <w:t xml:space="preserve"> the 75 percent enrollment capacity threshold </w:t>
            </w:r>
            <w:r w:rsidR="00222208">
              <w:t xml:space="preserve">for purposes of the </w:t>
            </w:r>
            <w:r w:rsidR="0096463F">
              <w:t>exemption</w:t>
            </w:r>
            <w:r w:rsidR="00222208">
              <w:t xml:space="preserve"> </w:t>
            </w:r>
            <w:r w:rsidR="00C32F4D">
              <w:t xml:space="preserve">includes </w:t>
            </w:r>
            <w:r w:rsidR="00C32F4D" w:rsidRPr="00C32F4D">
              <w:t xml:space="preserve">applicants </w:t>
            </w:r>
            <w:r w:rsidR="00C32F4D">
              <w:t xml:space="preserve">qualified for automatic admission </w:t>
            </w:r>
            <w:r w:rsidR="00C32F4D" w:rsidRPr="00C32F4D">
              <w:t>who completed a nontraditional secondary education</w:t>
            </w:r>
            <w:r w:rsidR="00C32F4D">
              <w:t xml:space="preserve"> and are offered admission </w:t>
            </w:r>
            <w:r w:rsidR="00567A19">
              <w:t>based on</w:t>
            </w:r>
            <w:r w:rsidR="00C32F4D">
              <w:t xml:space="preserve"> benchmark test score</w:t>
            </w:r>
            <w:r>
              <w:t>.</w:t>
            </w:r>
            <w:r w:rsidR="00711F0F">
              <w:t xml:space="preserve"> </w:t>
            </w:r>
            <w:r>
              <w:t xml:space="preserve">For these purposes, the bill </w:t>
            </w:r>
            <w:r>
              <w:t>defines</w:t>
            </w:r>
            <w:r w:rsidRPr="00571931">
              <w:t xml:space="preserve"> "nontraditional secondary education" </w:t>
            </w:r>
            <w:r>
              <w:t>by reference as</w:t>
            </w:r>
            <w:r w:rsidRPr="00571931">
              <w:t xml:space="preserve"> a course of study at the secondary school level in a nonaccredited private school setting, including a home school.</w:t>
            </w:r>
            <w:r w:rsidR="00900AAB">
              <w:t xml:space="preserve"> </w:t>
            </w:r>
          </w:p>
          <w:p w14:paraId="09476BA5" w14:textId="77777777" w:rsidR="002647D7" w:rsidRDefault="002647D7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385AA50" w14:textId="54E1D45C" w:rsidR="009C36CD" w:rsidRDefault="0002245F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C.S.H.B. 3041</w:t>
            </w:r>
            <w:r w:rsidR="002647D7">
              <w:t xml:space="preserve"> </w:t>
            </w:r>
            <w:r w:rsidR="007E11E3">
              <w:t>change</w:t>
            </w:r>
            <w:r w:rsidR="002647D7">
              <w:t>s</w:t>
            </w:r>
            <w:r w:rsidR="006552FC">
              <w:t xml:space="preserve"> the method</w:t>
            </w:r>
            <w:r w:rsidR="00B9597C">
              <w:t xml:space="preserve"> </w:t>
            </w:r>
            <w:r w:rsidR="0035266B">
              <w:t>by</w:t>
            </w:r>
            <w:r w:rsidR="006552FC">
              <w:t xml:space="preserve"> which a</w:t>
            </w:r>
            <w:r w:rsidR="00900AAB">
              <w:t xml:space="preserve"> public</w:t>
            </w:r>
            <w:r w:rsidR="006552FC">
              <w:t xml:space="preserve"> </w:t>
            </w:r>
            <w:r w:rsidR="006552FC" w:rsidRPr="006552FC">
              <w:t>institution of higher education</w:t>
            </w:r>
            <w:r w:rsidR="006552FC">
              <w:t xml:space="preserve"> that s</w:t>
            </w:r>
            <w:r w:rsidR="006552FC" w:rsidRPr="006552FC">
              <w:t>orts applicants by high school graduating class rank</w:t>
            </w:r>
            <w:r w:rsidR="006552FC">
              <w:t xml:space="preserve"> </w:t>
            </w:r>
            <w:r w:rsidR="006552FC" w:rsidRPr="006552FC">
              <w:t>in its undergraduate admission review process</w:t>
            </w:r>
            <w:r w:rsidR="00B9597C">
              <w:t xml:space="preserve"> includes</w:t>
            </w:r>
            <w:r w:rsidR="0035266B">
              <w:t xml:space="preserve"> </w:t>
            </w:r>
            <w:r w:rsidR="0035266B" w:rsidRPr="0035266B">
              <w:t>in that sorting</w:t>
            </w:r>
            <w:r w:rsidR="00E02336">
              <w:t xml:space="preserve"> process</w:t>
            </w:r>
            <w:r w:rsidR="00B9597C">
              <w:t xml:space="preserve"> applicants who have s</w:t>
            </w:r>
            <w:r w:rsidR="00B9597C" w:rsidRPr="00B9597C">
              <w:t>uccessfully completed a nontraditional secondary education that does not include a high school graduating class ranking</w:t>
            </w:r>
            <w:r w:rsidR="00E02336">
              <w:t xml:space="preserve"> from placing any such applicant </w:t>
            </w:r>
            <w:r w:rsidR="00E02336" w:rsidRPr="00E02336">
              <w:t xml:space="preserve">at the average high school graduating class rank of </w:t>
            </w:r>
            <w:r w:rsidR="00EA4EBA">
              <w:t xml:space="preserve">the institution's </w:t>
            </w:r>
            <w:r w:rsidR="00E02336" w:rsidRPr="00E02336">
              <w:t>undergraduate applicants who have equivalent standardized testing scores as the applicant</w:t>
            </w:r>
            <w:r w:rsidR="00E02336">
              <w:t xml:space="preserve"> to </w:t>
            </w:r>
            <w:r w:rsidR="009F04E5">
              <w:t>assigning a class rank to any such applicant by doing the following</w:t>
            </w:r>
            <w:r w:rsidR="007E11E3">
              <w:t>:</w:t>
            </w:r>
          </w:p>
          <w:p w14:paraId="1CAB7657" w14:textId="55EB64E3" w:rsidR="007E11E3" w:rsidRDefault="0002245F" w:rsidP="00026B43">
            <w:pPr>
              <w:pStyle w:val="Header"/>
              <w:numPr>
                <w:ilvl w:val="0"/>
                <w:numId w:val="1"/>
              </w:numPr>
              <w:jc w:val="both"/>
            </w:pPr>
            <w:r>
              <w:t>calculating for each class rank of other applicants to the institution the median score on each college entrance examination the institution considers in admissions; and</w:t>
            </w:r>
          </w:p>
          <w:p w14:paraId="78F13B72" w14:textId="5BD52471" w:rsidR="007E11E3" w:rsidRDefault="0002245F" w:rsidP="00026B4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assigning to the applicant the highest class rank for which the applicant's score on such a college entrance examination is at least equal to the median score </w:t>
            </w:r>
            <w:r w:rsidR="00BF260E" w:rsidRPr="00BF260E">
              <w:t>for that class rank</w:t>
            </w:r>
            <w:r w:rsidR="00BF260E">
              <w:t xml:space="preserve"> as </w:t>
            </w:r>
            <w:r>
              <w:t>calculated.</w:t>
            </w:r>
          </w:p>
          <w:p w14:paraId="4D791AD1" w14:textId="5AB24806" w:rsidR="004251D2" w:rsidRDefault="0002245F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requires </w:t>
            </w:r>
            <w:r w:rsidR="00637816">
              <w:t xml:space="preserve">the </w:t>
            </w:r>
            <w:r>
              <w:t>institution of higher education</w:t>
            </w:r>
            <w:r w:rsidR="00EA4EBA">
              <w:t xml:space="preserve"> </w:t>
            </w:r>
            <w:r>
              <w:t xml:space="preserve">to </w:t>
            </w:r>
            <w:r w:rsidRPr="0002668E">
              <w:t>post on the institution's website the median score on each college entrance examination the institution considers in admissions calculated for each class rank for the preceding admissions cycle.</w:t>
            </w:r>
            <w:r w:rsidR="00C65821">
              <w:t xml:space="preserve"> </w:t>
            </w:r>
          </w:p>
          <w:p w14:paraId="5DFC8EF3" w14:textId="77777777" w:rsidR="004251D2" w:rsidRDefault="004251D2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7272311F" w14:textId="57728517" w:rsidR="0002668E" w:rsidRDefault="0002245F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C.S.H.B. 3041</w:t>
            </w:r>
            <w:r w:rsidR="004C469D">
              <w:t xml:space="preserve"> establishes that its provisions relating to UT Austin and to the admission of a student with a nontraditional secondary education by an institution of higher education</w:t>
            </w:r>
            <w:r w:rsidR="00C65821">
              <w:t xml:space="preserve"> </w:t>
            </w:r>
            <w:r w:rsidR="00C65821" w:rsidRPr="00C65821">
              <w:t>appl</w:t>
            </w:r>
            <w:r w:rsidR="004C469D">
              <w:t>y</w:t>
            </w:r>
            <w:r w:rsidR="00C65821" w:rsidRPr="00C65821">
              <w:t xml:space="preserve"> beginning with admissions to </w:t>
            </w:r>
            <w:r w:rsidR="004C469D">
              <w:t xml:space="preserve">such </w:t>
            </w:r>
            <w:r w:rsidR="00C65821" w:rsidRPr="00C65821">
              <w:t>institution</w:t>
            </w:r>
            <w:r w:rsidR="004C469D">
              <w:t>s</w:t>
            </w:r>
            <w:r w:rsidR="00C65821" w:rsidRPr="00C65821">
              <w:t xml:space="preserve"> for the 2026 fall semester. Admissions to </w:t>
            </w:r>
            <w:r w:rsidR="004C469D">
              <w:t xml:space="preserve">such </w:t>
            </w:r>
            <w:r w:rsidR="00C65821" w:rsidRPr="00C65821">
              <w:t>a</w:t>
            </w:r>
            <w:r w:rsidR="00C65821">
              <w:t xml:space="preserve">n </w:t>
            </w:r>
            <w:r w:rsidR="00C65821" w:rsidRPr="00C65821">
              <w:t xml:space="preserve">institution for a term or semester before the 2026 fall semester are governed by the law in effect immediately before the </w:t>
            </w:r>
            <w:r w:rsidR="00C65821">
              <w:t xml:space="preserve">bill's </w:t>
            </w:r>
            <w:r w:rsidR="00C65821" w:rsidRPr="00C65821">
              <w:t>effective date, and the former law is continued in effect for that purpose.</w:t>
            </w:r>
          </w:p>
          <w:p w14:paraId="6226EF5E" w14:textId="77777777" w:rsidR="00D572A5" w:rsidRDefault="00D572A5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425613B6" w14:textId="2FE6CAF4" w:rsidR="00A325FA" w:rsidRDefault="0002245F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C.S.H.B. 3041 requires an institution </w:t>
            </w:r>
            <w:r w:rsidRPr="00A325FA">
              <w:t>of higher education</w:t>
            </w:r>
            <w:r>
              <w:t xml:space="preserve">, in </w:t>
            </w:r>
            <w:r w:rsidRPr="00A325FA">
              <w:t>admitting or enrolling high school students in a dual credit course</w:t>
            </w:r>
            <w:r>
              <w:t>,</w:t>
            </w:r>
            <w:r w:rsidRPr="00A325FA">
              <w:t xml:space="preserve"> </w:t>
            </w:r>
            <w:r>
              <w:t>to</w:t>
            </w:r>
            <w:r w:rsidRPr="00A325FA">
              <w:t xml:space="preserve"> apply the same criteria and conditions to each student wishing to enroll in the course without regard to whether the student attends a public school or a private or parochial school, including a home school. For </w:t>
            </w:r>
            <w:r>
              <w:t>these purposes,</w:t>
            </w:r>
            <w:r w:rsidRPr="00A325FA">
              <w:t xml:space="preserve"> a student who attends a school that is not formally organized as a high school and is at least 16 years of age is considered to be attending a high school.</w:t>
            </w:r>
            <w:r>
              <w:t xml:space="preserve"> These provisions</w:t>
            </w:r>
            <w:r w:rsidRPr="00A325FA">
              <w:t xml:space="preserve"> </w:t>
            </w:r>
            <w:r>
              <w:t xml:space="preserve">apply </w:t>
            </w:r>
            <w:r w:rsidRPr="00A325FA">
              <w:t>beginning</w:t>
            </w:r>
            <w:r w:rsidRPr="00A325FA">
              <w:t xml:space="preserve"> with admissions or enrollment in a dual credit course at a</w:t>
            </w:r>
            <w:r>
              <w:t xml:space="preserve">n </w:t>
            </w:r>
            <w:r w:rsidRPr="00A325FA">
              <w:t>institution of higher education for the 2026 fall semester. Admissions or enrollment in a dual credit course at a</w:t>
            </w:r>
            <w:r>
              <w:t xml:space="preserve">n </w:t>
            </w:r>
            <w:r w:rsidRPr="00A325FA">
              <w:t xml:space="preserve">institution of higher education for a term or semester before the 2026 fall semester is governed by the law in effect immediately before the </w:t>
            </w:r>
            <w:r>
              <w:t xml:space="preserve">bill's </w:t>
            </w:r>
            <w:r w:rsidRPr="00A325FA">
              <w:t>effective date, and the former law is continued in effect for that purpose.</w:t>
            </w:r>
          </w:p>
          <w:p w14:paraId="77D4C8BA" w14:textId="77777777" w:rsidR="00A325FA" w:rsidRDefault="00A325FA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72B86E60" w14:textId="5F68B03A" w:rsidR="00BF260E" w:rsidRDefault="0002245F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C.S.H.B.</w:t>
            </w:r>
            <w:r w:rsidR="00D572A5">
              <w:t xml:space="preserve"> 3041 expands the requirement for the </w:t>
            </w:r>
            <w:r w:rsidR="00D572A5" w:rsidRPr="00D572A5">
              <w:t xml:space="preserve">Texas Higher Education Coordinating Board (THECB) </w:t>
            </w:r>
            <w:r w:rsidR="00D572A5">
              <w:t xml:space="preserve">to </w:t>
            </w:r>
            <w:r w:rsidR="00D572A5" w:rsidRPr="00D572A5">
              <w:t xml:space="preserve">disseminate to each public or accredited private high school in </w:t>
            </w:r>
            <w:r w:rsidR="00D572A5">
              <w:t xml:space="preserve">Texas </w:t>
            </w:r>
            <w:r w:rsidR="00D572A5" w:rsidRPr="00D572A5">
              <w:t xml:space="preserve">information regarding available financial assistance </w:t>
            </w:r>
            <w:r w:rsidR="00637816">
              <w:t xml:space="preserve">for resident undergraduate and graduate students </w:t>
            </w:r>
            <w:r w:rsidR="00D572A5" w:rsidRPr="00D572A5">
              <w:t>funded from designated tuition</w:t>
            </w:r>
            <w:r w:rsidR="00637816">
              <w:t xml:space="preserve"> </w:t>
            </w:r>
            <w:r w:rsidR="00D572A5">
              <w:t xml:space="preserve">by requiring the THECB to also </w:t>
            </w:r>
            <w:r w:rsidR="0036678A">
              <w:t>post</w:t>
            </w:r>
            <w:r w:rsidR="00D572A5">
              <w:t xml:space="preserve"> </w:t>
            </w:r>
            <w:r w:rsidR="00950126">
              <w:t xml:space="preserve">that </w:t>
            </w:r>
            <w:r w:rsidR="00D572A5">
              <w:t>information on the THECB website.</w:t>
            </w:r>
          </w:p>
          <w:p w14:paraId="10B7037A" w14:textId="77777777" w:rsidR="009A47BB" w:rsidRDefault="009A47BB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35909B2" w14:textId="4E3D77FD" w:rsidR="00DE1366" w:rsidRPr="005C1D72" w:rsidRDefault="0002245F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C.S.H.B.</w:t>
            </w:r>
            <w:r w:rsidR="00AD0EE5">
              <w:t xml:space="preserve"> 3041</w:t>
            </w:r>
            <w:r w:rsidR="000B31DA">
              <w:t xml:space="preserve"> makes a person who has graduated or is graduating from high school </w:t>
            </w:r>
            <w:r w:rsidR="000F7621">
              <w:t xml:space="preserve">initially </w:t>
            </w:r>
            <w:r w:rsidR="000B31DA">
              <w:t xml:space="preserve">eligible for a grant under the </w:t>
            </w:r>
            <w:r w:rsidR="000B31DA" w:rsidRPr="00D923AB">
              <w:t xml:space="preserve">Toward Excellence, Access, &amp; Success (TEXAS) </w:t>
            </w:r>
            <w:r w:rsidR="000B31DA">
              <w:t>grant program if the person present</w:t>
            </w:r>
            <w:r w:rsidR="000F7621">
              <w:t>s</w:t>
            </w:r>
            <w:r w:rsidR="000B31DA">
              <w:t xml:space="preserve"> evidence of successful completion of a nontraditional secondary education and otherwise meets the program's </w:t>
            </w:r>
            <w:r w:rsidR="000F7621">
              <w:t xml:space="preserve">applicable </w:t>
            </w:r>
            <w:r w:rsidR="000B31DA">
              <w:t>eligibility requirements</w:t>
            </w:r>
            <w:r w:rsidR="00D923AB">
              <w:t xml:space="preserve">. </w:t>
            </w:r>
            <w:r w:rsidR="00FD44BE">
              <w:t>However, t</w:t>
            </w:r>
            <w:r w:rsidR="000F7621">
              <w:t>he bill</w:t>
            </w:r>
            <w:r w:rsidR="00697D10">
              <w:t xml:space="preserve"> </w:t>
            </w:r>
            <w:r w:rsidR="00421251">
              <w:t>conditions</w:t>
            </w:r>
            <w:r w:rsidR="00FD44BE">
              <w:t xml:space="preserve"> </w:t>
            </w:r>
            <w:r w:rsidR="00421251">
              <w:t>that</w:t>
            </w:r>
            <w:r w:rsidR="00FD44BE">
              <w:t xml:space="preserve"> eligibility </w:t>
            </w:r>
            <w:r w:rsidR="00421251">
              <w:t xml:space="preserve">for </w:t>
            </w:r>
            <w:r w:rsidR="00B82921">
              <w:t>a person</w:t>
            </w:r>
            <w:r w:rsidR="00FD44BE">
              <w:t xml:space="preserve"> who</w:t>
            </w:r>
            <w:r w:rsidR="00B82921">
              <w:t xml:space="preserve"> </w:t>
            </w:r>
            <w:r w:rsidR="00FD44BE">
              <w:t xml:space="preserve">is otherwise initially eligible for the grant as a </w:t>
            </w:r>
            <w:r w:rsidR="00FD44BE" w:rsidRPr="004659D1">
              <w:t>person who graduated from high school before May 1, 2013</w:t>
            </w:r>
            <w:r w:rsidR="00FD44BE">
              <w:t>, and</w:t>
            </w:r>
            <w:r w:rsidR="00B82921">
              <w:t xml:space="preserve"> </w:t>
            </w:r>
            <w:r w:rsidR="00FD44BE">
              <w:t xml:space="preserve">who </w:t>
            </w:r>
            <w:r w:rsidR="00B82921" w:rsidRPr="00B82921">
              <w:t>presents evidence of successful completion of a nontraditional secondary education</w:t>
            </w:r>
            <w:r w:rsidR="00B6699C">
              <w:t xml:space="preserve"> </w:t>
            </w:r>
            <w:r w:rsidR="00FD44BE">
              <w:t>on the person's</w:t>
            </w:r>
            <w:r w:rsidR="004659D1">
              <w:t xml:space="preserve"> </w:t>
            </w:r>
            <w:r w:rsidR="000162D1" w:rsidRPr="000162D1">
              <w:t>official transcript or diploma indicat</w:t>
            </w:r>
            <w:r w:rsidR="00421251">
              <w:t>ing</w:t>
            </w:r>
            <w:r w:rsidR="004659D1">
              <w:t>,</w:t>
            </w:r>
            <w:r w:rsidR="000162D1" w:rsidRPr="000162D1">
              <w:t xml:space="preserve"> not later than the end of the </w:t>
            </w:r>
            <w:r w:rsidR="00421251">
              <w:t>person's</w:t>
            </w:r>
            <w:r w:rsidR="00421251" w:rsidRPr="000162D1">
              <w:t xml:space="preserve"> </w:t>
            </w:r>
            <w:r w:rsidR="000162D1" w:rsidRPr="000162D1">
              <w:t>junior year</w:t>
            </w:r>
            <w:r w:rsidR="004659D1">
              <w:t>,</w:t>
            </w:r>
            <w:r w:rsidR="000162D1" w:rsidRPr="000162D1">
              <w:t xml:space="preserve"> whether the </w:t>
            </w:r>
            <w:r w:rsidR="00AC2E0C">
              <w:t>person</w:t>
            </w:r>
            <w:r w:rsidR="00AC2E0C" w:rsidRPr="000162D1">
              <w:t xml:space="preserve"> </w:t>
            </w:r>
            <w:r w:rsidR="000162D1" w:rsidRPr="000162D1">
              <w:t>has completed or is on schedule to complete the recommended or advanced high school curriculum required for grant eligibility</w:t>
            </w:r>
            <w:r w:rsidR="005D2F31">
              <w:t xml:space="preserve">. </w:t>
            </w:r>
            <w:r w:rsidR="002647D4">
              <w:rPr>
                <w:bCs/>
              </w:rPr>
              <w:t xml:space="preserve">The bill requires the THECB to post </w:t>
            </w:r>
            <w:r w:rsidR="002647D4" w:rsidRPr="002647D4">
              <w:rPr>
                <w:bCs/>
              </w:rPr>
              <w:t>a copy of the rules adopted under</w:t>
            </w:r>
            <w:r w:rsidR="002647D4">
              <w:rPr>
                <w:bCs/>
              </w:rPr>
              <w:t xml:space="preserve"> </w:t>
            </w:r>
            <w:r w:rsidR="0045337B">
              <w:rPr>
                <w:bCs/>
              </w:rPr>
              <w:t>provisions relating to the TEXAS grant program on the THECB website.</w:t>
            </w:r>
          </w:p>
          <w:p w14:paraId="39DCEF66" w14:textId="77777777" w:rsidR="003516C5" w:rsidRDefault="003516C5" w:rsidP="00026B43">
            <w:pPr>
              <w:pStyle w:val="Header"/>
              <w:jc w:val="both"/>
              <w:rPr>
                <w:bCs/>
              </w:rPr>
            </w:pPr>
          </w:p>
          <w:p w14:paraId="218C5D6D" w14:textId="2730F35D" w:rsidR="00B762F4" w:rsidRDefault="0002245F" w:rsidP="00026B43">
            <w:pPr>
              <w:pStyle w:val="Header"/>
              <w:jc w:val="both"/>
              <w:rPr>
                <w:bCs/>
              </w:rPr>
            </w:pPr>
            <w:r>
              <w:rPr>
                <w:bCs/>
              </w:rPr>
              <w:t>C.S.H.B.</w:t>
            </w:r>
            <w:r w:rsidR="00DE7248">
              <w:rPr>
                <w:bCs/>
              </w:rPr>
              <w:t xml:space="preserve"> 3041</w:t>
            </w:r>
            <w:r w:rsidR="00B966F5">
              <w:rPr>
                <w:bCs/>
              </w:rPr>
              <w:t xml:space="preserve"> makes an otherwise </w:t>
            </w:r>
            <w:r w:rsidR="0071268E">
              <w:rPr>
                <w:bCs/>
              </w:rPr>
              <w:t>eligible</w:t>
            </w:r>
            <w:r w:rsidR="00B966F5">
              <w:rPr>
                <w:bCs/>
              </w:rPr>
              <w:t xml:space="preserve"> student </w:t>
            </w:r>
            <w:r w:rsidR="00F002CA">
              <w:rPr>
                <w:bCs/>
              </w:rPr>
              <w:t xml:space="preserve">who </w:t>
            </w:r>
            <w:r w:rsidR="00F002CA" w:rsidRPr="00F002CA">
              <w:rPr>
                <w:bCs/>
              </w:rPr>
              <w:t>presents evidence of successful completion of a nontraditional secondary education</w:t>
            </w:r>
            <w:r w:rsidR="0071268E">
              <w:rPr>
                <w:bCs/>
              </w:rPr>
              <w:t xml:space="preserve"> </w:t>
            </w:r>
            <w:r w:rsidR="00DE7248">
              <w:rPr>
                <w:bCs/>
              </w:rPr>
              <w:t xml:space="preserve">eligible </w:t>
            </w:r>
            <w:r w:rsidR="00DE7248" w:rsidRPr="00DE7248">
              <w:rPr>
                <w:bCs/>
              </w:rPr>
              <w:t>for a scholarshi</w:t>
            </w:r>
            <w:r w:rsidR="00DE7248">
              <w:rPr>
                <w:bCs/>
              </w:rPr>
              <w:t>p</w:t>
            </w:r>
            <w:r w:rsidR="00421251">
              <w:rPr>
                <w:bCs/>
              </w:rPr>
              <w:t xml:space="preserve"> awarded by the THECB</w:t>
            </w:r>
            <w:r w:rsidR="00DE7248" w:rsidRPr="00DE7248">
              <w:rPr>
                <w:bCs/>
              </w:rPr>
              <w:t xml:space="preserve"> for student</w:t>
            </w:r>
            <w:r w:rsidR="0066530E">
              <w:rPr>
                <w:bCs/>
              </w:rPr>
              <w:t>s</w:t>
            </w:r>
            <w:r w:rsidR="00DE7248" w:rsidRPr="00DE7248">
              <w:rPr>
                <w:bCs/>
              </w:rPr>
              <w:t xml:space="preserve"> graduating in the top 10 percent of </w:t>
            </w:r>
            <w:r w:rsidR="00F40011">
              <w:rPr>
                <w:bCs/>
              </w:rPr>
              <w:t xml:space="preserve">a </w:t>
            </w:r>
            <w:r w:rsidR="00DE7248" w:rsidRPr="00DE7248">
              <w:rPr>
                <w:bCs/>
              </w:rPr>
              <w:t>high school class</w:t>
            </w:r>
            <w:r w:rsidR="0066530E">
              <w:rPr>
                <w:bCs/>
              </w:rPr>
              <w:t xml:space="preserve">. </w:t>
            </w:r>
            <w:r w:rsidR="003516C5">
              <w:rPr>
                <w:bCs/>
              </w:rPr>
              <w:t xml:space="preserve">The bill requires the </w:t>
            </w:r>
            <w:r w:rsidR="00C65821" w:rsidRPr="00C65821">
              <w:rPr>
                <w:bCs/>
              </w:rPr>
              <w:t xml:space="preserve">class rank of a student who presents evidence of successful completion of a nontraditional secondary education </w:t>
            </w:r>
            <w:r w:rsidR="00C65821">
              <w:rPr>
                <w:bCs/>
              </w:rPr>
              <w:t>to</w:t>
            </w:r>
            <w:r w:rsidR="00C65821" w:rsidRPr="00C65821">
              <w:rPr>
                <w:bCs/>
              </w:rPr>
              <w:t xml:space="preserve"> be calculated in the manne</w:t>
            </w:r>
            <w:r>
              <w:rPr>
                <w:bCs/>
              </w:rPr>
              <w:t>r by</w:t>
            </w:r>
            <w:r w:rsidRPr="00B762F4">
              <w:rPr>
                <w:bCs/>
              </w:rPr>
              <w:t xml:space="preserve"> which a</w:t>
            </w:r>
            <w:r>
              <w:rPr>
                <w:bCs/>
              </w:rPr>
              <w:t xml:space="preserve">n </w:t>
            </w:r>
            <w:r w:rsidRPr="00B762F4">
              <w:rPr>
                <w:bCs/>
              </w:rPr>
              <w:t xml:space="preserve">institution of higher education sorts </w:t>
            </w:r>
            <w:r>
              <w:rPr>
                <w:bCs/>
              </w:rPr>
              <w:t xml:space="preserve">such </w:t>
            </w:r>
            <w:r w:rsidRPr="00B762F4">
              <w:rPr>
                <w:bCs/>
              </w:rPr>
              <w:t>applicants in its undergraduate admission review process</w:t>
            </w:r>
            <w:r>
              <w:rPr>
                <w:bCs/>
              </w:rPr>
              <w:t xml:space="preserve">, as </w:t>
            </w:r>
            <w:r w:rsidRPr="00B762F4">
              <w:rPr>
                <w:bCs/>
              </w:rPr>
              <w:t>provided by the bill</w:t>
            </w:r>
            <w:r>
              <w:rPr>
                <w:bCs/>
              </w:rPr>
              <w:t xml:space="preserve">. </w:t>
            </w:r>
          </w:p>
          <w:p w14:paraId="656AB3D4" w14:textId="6D15C977" w:rsidR="0066530E" w:rsidRDefault="0066530E" w:rsidP="00026B43">
            <w:pPr>
              <w:pStyle w:val="Header"/>
              <w:jc w:val="both"/>
              <w:rPr>
                <w:bCs/>
              </w:rPr>
            </w:pPr>
          </w:p>
          <w:p w14:paraId="30DB8836" w14:textId="1BF4F115" w:rsidR="00026E7E" w:rsidRDefault="0002245F" w:rsidP="00026B43">
            <w:pPr>
              <w:pStyle w:val="Header"/>
              <w:jc w:val="both"/>
              <w:rPr>
                <w:bCs/>
              </w:rPr>
            </w:pPr>
            <w:r>
              <w:rPr>
                <w:bCs/>
              </w:rPr>
              <w:t>C.S.H.B.</w:t>
            </w:r>
            <w:r w:rsidR="00B762F4">
              <w:rPr>
                <w:bCs/>
              </w:rPr>
              <w:t xml:space="preserve"> 3041</w:t>
            </w:r>
            <w:r w:rsidR="003A5DCB">
              <w:rPr>
                <w:bCs/>
              </w:rPr>
              <w:t xml:space="preserve"> establishes that its provisions relating to</w:t>
            </w:r>
            <w:r w:rsidR="00C65821">
              <w:rPr>
                <w:bCs/>
              </w:rPr>
              <w:t xml:space="preserve"> </w:t>
            </w:r>
            <w:r w:rsidR="00C65821" w:rsidRPr="00C65821">
              <w:rPr>
                <w:bCs/>
              </w:rPr>
              <w:t>student financial assistance</w:t>
            </w:r>
            <w:r w:rsidR="00C65821">
              <w:rPr>
                <w:bCs/>
              </w:rPr>
              <w:t xml:space="preserve"> </w:t>
            </w:r>
            <w:r w:rsidR="00C65821" w:rsidRPr="00C65821">
              <w:rPr>
                <w:bCs/>
              </w:rPr>
              <w:t>apply beginning with student financial assistance awarded by a</w:t>
            </w:r>
            <w:r w:rsidR="00B762F4">
              <w:rPr>
                <w:bCs/>
              </w:rPr>
              <w:t xml:space="preserve">n </w:t>
            </w:r>
            <w:r w:rsidR="00C65821" w:rsidRPr="00C65821">
              <w:rPr>
                <w:bCs/>
              </w:rPr>
              <w:t>institution of higher education for the 2026 fall semester. Student financial assistance awarded by a</w:t>
            </w:r>
            <w:r w:rsidR="00C65821">
              <w:rPr>
                <w:bCs/>
              </w:rPr>
              <w:t xml:space="preserve">n </w:t>
            </w:r>
            <w:r w:rsidR="00C65821" w:rsidRPr="00C65821">
              <w:rPr>
                <w:bCs/>
              </w:rPr>
              <w:t xml:space="preserve">institution of higher education for a term or semester before the 2026 fall semester is governed by the law in effect immediately before the </w:t>
            </w:r>
            <w:r w:rsidR="00C65821">
              <w:rPr>
                <w:bCs/>
              </w:rPr>
              <w:t xml:space="preserve">bill's </w:t>
            </w:r>
            <w:r w:rsidR="00C65821" w:rsidRPr="00C65821">
              <w:rPr>
                <w:bCs/>
              </w:rPr>
              <w:t>effective date, and the former law is continued in effect for that purpose.</w:t>
            </w:r>
          </w:p>
          <w:p w14:paraId="59E39022" w14:textId="56F3837D" w:rsidR="00344CAA" w:rsidRPr="009002EA" w:rsidRDefault="00344CAA" w:rsidP="00026B43">
            <w:pPr>
              <w:pStyle w:val="Header"/>
              <w:jc w:val="both"/>
              <w:rPr>
                <w:bCs/>
              </w:rPr>
            </w:pPr>
          </w:p>
        </w:tc>
      </w:tr>
      <w:tr w:rsidR="00C82D80" w14:paraId="22CFD4BC" w14:textId="77777777" w:rsidTr="00436805">
        <w:tc>
          <w:tcPr>
            <w:tcW w:w="9360" w:type="dxa"/>
          </w:tcPr>
          <w:p w14:paraId="2294C00A" w14:textId="77777777" w:rsidR="008423E4" w:rsidRPr="00A8133F" w:rsidRDefault="0002245F" w:rsidP="00026B43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F980863" w14:textId="77777777" w:rsidR="008423E4" w:rsidRDefault="008423E4" w:rsidP="00026B43"/>
          <w:p w14:paraId="4686A61D" w14:textId="6B44FF90" w:rsidR="008423E4" w:rsidRPr="003624F2" w:rsidRDefault="0002245F" w:rsidP="00026B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2025.</w:t>
            </w:r>
          </w:p>
          <w:p w14:paraId="369F92CF" w14:textId="77777777" w:rsidR="008423E4" w:rsidRPr="00233FDB" w:rsidRDefault="008423E4" w:rsidP="00026B43">
            <w:pPr>
              <w:rPr>
                <w:b/>
              </w:rPr>
            </w:pPr>
          </w:p>
        </w:tc>
      </w:tr>
      <w:tr w:rsidR="00C82D80" w14:paraId="6E2A4E02" w14:textId="77777777" w:rsidTr="00436805">
        <w:tc>
          <w:tcPr>
            <w:tcW w:w="9360" w:type="dxa"/>
          </w:tcPr>
          <w:p w14:paraId="685E4E4E" w14:textId="77777777" w:rsidR="00801326" w:rsidRDefault="0002245F" w:rsidP="00026B43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COMPARISON OF INTRODUCED AND </w:t>
            </w:r>
            <w:r>
              <w:rPr>
                <w:b/>
                <w:u w:val="single"/>
              </w:rPr>
              <w:t>SUBSTITUTE</w:t>
            </w:r>
          </w:p>
          <w:p w14:paraId="5FF0F38C" w14:textId="77777777" w:rsidR="00F13F09" w:rsidRDefault="00F13F09" w:rsidP="00026B43">
            <w:pPr>
              <w:jc w:val="both"/>
            </w:pPr>
          </w:p>
          <w:p w14:paraId="02EC57C5" w14:textId="02B394C9" w:rsidR="00F13F09" w:rsidRDefault="0002245F" w:rsidP="00026B43">
            <w:pPr>
              <w:jc w:val="both"/>
            </w:pPr>
            <w:r>
              <w:t>While C.S.H.B. 3041 may differ from the introduced in minor or nonsubstantive ways, the following summarizes the substantial differences between the introduced and committee substitute versions of the bill.</w:t>
            </w:r>
          </w:p>
          <w:p w14:paraId="13416E3A" w14:textId="77777777" w:rsidR="00984818" w:rsidRDefault="00984818" w:rsidP="00026B43">
            <w:pPr>
              <w:jc w:val="both"/>
            </w:pPr>
          </w:p>
          <w:p w14:paraId="54F61979" w14:textId="77777777" w:rsidR="00E22062" w:rsidRDefault="0002245F" w:rsidP="00026B43">
            <w:pPr>
              <w:jc w:val="both"/>
            </w:pPr>
            <w:r>
              <w:t xml:space="preserve">The substitute </w:t>
            </w:r>
            <w:r w:rsidR="002E1ACC">
              <w:t>includes provisions absent from the introduce</w:t>
            </w:r>
            <w:r w:rsidR="001C5537">
              <w:t>d</w:t>
            </w:r>
            <w:r>
              <w:t xml:space="preserve"> regarding the automatic admission into UT Austin of students who have completed a nontraditional secondary education.</w:t>
            </w:r>
          </w:p>
          <w:p w14:paraId="4932D6CA" w14:textId="4BE78758" w:rsidR="00F13F09" w:rsidRDefault="0002245F" w:rsidP="00026B43">
            <w:pPr>
              <w:jc w:val="both"/>
            </w:pPr>
            <w:r>
              <w:t xml:space="preserve"> </w:t>
            </w:r>
          </w:p>
          <w:p w14:paraId="66C9FE36" w14:textId="34B1D96A" w:rsidR="008A1D00" w:rsidRPr="00F13F09" w:rsidRDefault="0002245F" w:rsidP="00026B43">
            <w:pPr>
              <w:jc w:val="both"/>
            </w:pPr>
            <w:r>
              <w:t xml:space="preserve">The substitute </w:t>
            </w:r>
            <w:r w:rsidR="00011C16">
              <w:t xml:space="preserve">also </w:t>
            </w:r>
            <w:r>
              <w:t xml:space="preserve">includes </w:t>
            </w:r>
            <w:r w:rsidR="00E22062">
              <w:t>a requirement</w:t>
            </w:r>
            <w:r w:rsidR="0091509D">
              <w:t xml:space="preserve"> absent from the introduced</w:t>
            </w:r>
            <w:r w:rsidR="00487B04">
              <w:t xml:space="preserve"> for </w:t>
            </w:r>
            <w:r w:rsidR="00487B04" w:rsidRPr="00487B04">
              <w:t>an institution of higher education</w:t>
            </w:r>
            <w:r w:rsidR="00487B04">
              <w:t>, i</w:t>
            </w:r>
            <w:r w:rsidR="00487B04" w:rsidRPr="00487B04">
              <w:t>n admitting or enrolling high school students in a dual credit course</w:t>
            </w:r>
            <w:r w:rsidR="00487B04">
              <w:t>, to</w:t>
            </w:r>
            <w:r w:rsidR="00487B04" w:rsidRPr="00487B04">
              <w:t xml:space="preserve"> apply the same criteria and conditions to each student wishing to enroll in the course without regard to whether the student attends a public school or a private or parochial school</w:t>
            </w:r>
            <w:r w:rsidR="00F1065D">
              <w:t>, including a home school</w:t>
            </w:r>
            <w:r w:rsidR="00487B04">
              <w:t xml:space="preserve">. </w:t>
            </w:r>
            <w:r w:rsidR="00F1065D">
              <w:t>Accordingly</w:t>
            </w:r>
            <w:r w:rsidR="00487B04">
              <w:t xml:space="preserve">, the substitute </w:t>
            </w:r>
            <w:r w:rsidR="00A0023A">
              <w:t xml:space="preserve">includes a provision absent from the introduced </w:t>
            </w:r>
            <w:r w:rsidR="0091509D">
              <w:t>establish</w:t>
            </w:r>
            <w:r w:rsidR="00A0023A">
              <w:t>ing</w:t>
            </w:r>
            <w:r w:rsidR="0091509D">
              <w:t xml:space="preserve"> that </w:t>
            </w:r>
            <w:r w:rsidR="00F1065D">
              <w:t>this</w:t>
            </w:r>
            <w:r w:rsidR="00F1065D" w:rsidRPr="008A1D00">
              <w:t xml:space="preserve"> </w:t>
            </w:r>
            <w:r w:rsidRPr="008A1D00">
              <w:t>provision appl</w:t>
            </w:r>
            <w:r w:rsidR="00A0023A">
              <w:t>i</w:t>
            </w:r>
            <w:r w:rsidR="00F1065D">
              <w:t>es</w:t>
            </w:r>
            <w:r w:rsidRPr="008A1D00">
              <w:t xml:space="preserve"> beginning with ad</w:t>
            </w:r>
            <w:r w:rsidRPr="008A1D00">
              <w:t>missions or enrollment in a dual credit course at an institution of higher education for the 2026 fall semester</w:t>
            </w:r>
            <w:r w:rsidR="00487B04">
              <w:t>.</w:t>
            </w:r>
          </w:p>
        </w:tc>
      </w:tr>
    </w:tbl>
    <w:p w14:paraId="1A20F95B" w14:textId="77777777" w:rsidR="008423E4" w:rsidRPr="00BE0E75" w:rsidRDefault="008423E4" w:rsidP="00026B43">
      <w:pPr>
        <w:jc w:val="both"/>
        <w:rPr>
          <w:rFonts w:ascii="Arial" w:hAnsi="Arial"/>
          <w:sz w:val="16"/>
          <w:szCs w:val="16"/>
        </w:rPr>
      </w:pPr>
    </w:p>
    <w:p w14:paraId="7E0ACF5A" w14:textId="77777777" w:rsidR="004108C3" w:rsidRPr="008423E4" w:rsidRDefault="004108C3" w:rsidP="00026B43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1CC0" w14:textId="77777777" w:rsidR="0002245F" w:rsidRDefault="0002245F">
      <w:r>
        <w:separator/>
      </w:r>
    </w:p>
  </w:endnote>
  <w:endnote w:type="continuationSeparator" w:id="0">
    <w:p w14:paraId="34E937E9" w14:textId="77777777" w:rsidR="0002245F" w:rsidRDefault="0002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A521" w14:textId="77777777" w:rsidR="00FC7737" w:rsidRDefault="00FC77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82D80" w14:paraId="2148B72A" w14:textId="77777777" w:rsidTr="009C1E9A">
      <w:trPr>
        <w:cantSplit/>
      </w:trPr>
      <w:tc>
        <w:tcPr>
          <w:tcW w:w="0" w:type="pct"/>
        </w:tcPr>
        <w:p w14:paraId="1A03CD5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EE9C00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8788737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2E8051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A17774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82D80" w14:paraId="30BAD12D" w14:textId="77777777" w:rsidTr="009C1E9A">
      <w:trPr>
        <w:cantSplit/>
      </w:trPr>
      <w:tc>
        <w:tcPr>
          <w:tcW w:w="0" w:type="pct"/>
        </w:tcPr>
        <w:p w14:paraId="7DA7993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1AD3CA7" w14:textId="12C93D7F" w:rsidR="00EC379B" w:rsidRPr="009C1E9A" w:rsidRDefault="0002245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25251-D</w:t>
          </w:r>
        </w:p>
      </w:tc>
      <w:tc>
        <w:tcPr>
          <w:tcW w:w="2453" w:type="pct"/>
        </w:tcPr>
        <w:p w14:paraId="0DFCA7B7" w14:textId="47B230B2" w:rsidR="00EC379B" w:rsidRDefault="0002245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91974">
            <w:t>25.109.62</w:t>
          </w:r>
          <w:r>
            <w:fldChar w:fldCharType="end"/>
          </w:r>
        </w:p>
      </w:tc>
    </w:tr>
    <w:tr w:rsidR="00C82D80" w14:paraId="480656ED" w14:textId="77777777" w:rsidTr="009C1E9A">
      <w:trPr>
        <w:cantSplit/>
      </w:trPr>
      <w:tc>
        <w:tcPr>
          <w:tcW w:w="0" w:type="pct"/>
        </w:tcPr>
        <w:p w14:paraId="09F77FF2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6F41D29" w14:textId="74B6FA31" w:rsidR="00EC379B" w:rsidRPr="009C1E9A" w:rsidRDefault="0002245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24502</w:t>
          </w:r>
        </w:p>
      </w:tc>
      <w:tc>
        <w:tcPr>
          <w:tcW w:w="2453" w:type="pct"/>
        </w:tcPr>
        <w:p w14:paraId="0E0F9B38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7C2676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82D80" w14:paraId="55AF791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641A0E2" w14:textId="77777777" w:rsidR="00EC379B" w:rsidRDefault="0002245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EC5CF5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7C574AC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1E38" w14:textId="77777777" w:rsidR="00FC7737" w:rsidRDefault="00FC7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E402" w14:textId="77777777" w:rsidR="0002245F" w:rsidRDefault="0002245F">
      <w:r>
        <w:separator/>
      </w:r>
    </w:p>
  </w:footnote>
  <w:footnote w:type="continuationSeparator" w:id="0">
    <w:p w14:paraId="1B68A2AF" w14:textId="77777777" w:rsidR="0002245F" w:rsidRDefault="00022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DC02" w14:textId="77777777" w:rsidR="00FC7737" w:rsidRDefault="00FC7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4F32" w14:textId="77777777" w:rsidR="00FC7737" w:rsidRDefault="00FC7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F477" w14:textId="77777777" w:rsidR="00FC7737" w:rsidRDefault="00FC7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28B"/>
    <w:multiLevelType w:val="hybridMultilevel"/>
    <w:tmpl w:val="64C0849C"/>
    <w:lvl w:ilvl="0" w:tplc="70BAF830">
      <w:start w:val="1"/>
      <w:numFmt w:val="decimal"/>
      <w:lvlText w:val="(%1)"/>
      <w:lvlJc w:val="left"/>
      <w:pPr>
        <w:ind w:left="818" w:hanging="458"/>
      </w:pPr>
      <w:rPr>
        <w:rFonts w:hint="default"/>
      </w:rPr>
    </w:lvl>
    <w:lvl w:ilvl="1" w:tplc="0C8A5F52" w:tentative="1">
      <w:start w:val="1"/>
      <w:numFmt w:val="lowerLetter"/>
      <w:lvlText w:val="%2."/>
      <w:lvlJc w:val="left"/>
      <w:pPr>
        <w:ind w:left="1440" w:hanging="360"/>
      </w:pPr>
    </w:lvl>
    <w:lvl w:ilvl="2" w:tplc="51860CD4" w:tentative="1">
      <w:start w:val="1"/>
      <w:numFmt w:val="lowerRoman"/>
      <w:lvlText w:val="%3."/>
      <w:lvlJc w:val="right"/>
      <w:pPr>
        <w:ind w:left="2160" w:hanging="180"/>
      </w:pPr>
    </w:lvl>
    <w:lvl w:ilvl="3" w:tplc="65108F34" w:tentative="1">
      <w:start w:val="1"/>
      <w:numFmt w:val="decimal"/>
      <w:lvlText w:val="%4."/>
      <w:lvlJc w:val="left"/>
      <w:pPr>
        <w:ind w:left="2880" w:hanging="360"/>
      </w:pPr>
    </w:lvl>
    <w:lvl w:ilvl="4" w:tplc="21A2C7E0" w:tentative="1">
      <w:start w:val="1"/>
      <w:numFmt w:val="lowerLetter"/>
      <w:lvlText w:val="%5."/>
      <w:lvlJc w:val="left"/>
      <w:pPr>
        <w:ind w:left="3600" w:hanging="360"/>
      </w:pPr>
    </w:lvl>
    <w:lvl w:ilvl="5" w:tplc="9672082E" w:tentative="1">
      <w:start w:val="1"/>
      <w:numFmt w:val="lowerRoman"/>
      <w:lvlText w:val="%6."/>
      <w:lvlJc w:val="right"/>
      <w:pPr>
        <w:ind w:left="4320" w:hanging="180"/>
      </w:pPr>
    </w:lvl>
    <w:lvl w:ilvl="6" w:tplc="2E2EF1B4" w:tentative="1">
      <w:start w:val="1"/>
      <w:numFmt w:val="decimal"/>
      <w:lvlText w:val="%7."/>
      <w:lvlJc w:val="left"/>
      <w:pPr>
        <w:ind w:left="5040" w:hanging="360"/>
      </w:pPr>
    </w:lvl>
    <w:lvl w:ilvl="7" w:tplc="2F68F8C4" w:tentative="1">
      <w:start w:val="1"/>
      <w:numFmt w:val="lowerLetter"/>
      <w:lvlText w:val="%8."/>
      <w:lvlJc w:val="left"/>
      <w:pPr>
        <w:ind w:left="5760" w:hanging="360"/>
      </w:pPr>
    </w:lvl>
    <w:lvl w:ilvl="8" w:tplc="32D21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45A5C"/>
    <w:multiLevelType w:val="hybridMultilevel"/>
    <w:tmpl w:val="A3E04FF6"/>
    <w:lvl w:ilvl="0" w:tplc="7E7E0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45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2F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67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EF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E3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6E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4B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24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716EE"/>
    <w:multiLevelType w:val="hybridMultilevel"/>
    <w:tmpl w:val="D660A7A8"/>
    <w:lvl w:ilvl="0" w:tplc="A8D2F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A073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AAD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EF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24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841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ABA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A0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D07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3284"/>
    <w:multiLevelType w:val="hybridMultilevel"/>
    <w:tmpl w:val="6F64CF2E"/>
    <w:lvl w:ilvl="0" w:tplc="A66E4B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1CD7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8E5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4D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CD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8CA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65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1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A2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C1B4A"/>
    <w:multiLevelType w:val="hybridMultilevel"/>
    <w:tmpl w:val="15360FD8"/>
    <w:lvl w:ilvl="0" w:tplc="869EE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DE82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785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03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E3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40A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27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22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A9B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73E48"/>
    <w:multiLevelType w:val="hybridMultilevel"/>
    <w:tmpl w:val="3F647322"/>
    <w:lvl w:ilvl="0" w:tplc="9AA08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ED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7C9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2F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07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785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20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69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70A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A7B2A"/>
    <w:multiLevelType w:val="hybridMultilevel"/>
    <w:tmpl w:val="7CAC456C"/>
    <w:lvl w:ilvl="0" w:tplc="8E9C9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7E0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43B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C3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08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ACD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69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E9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E856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C6940"/>
    <w:multiLevelType w:val="hybridMultilevel"/>
    <w:tmpl w:val="38F46580"/>
    <w:lvl w:ilvl="0" w:tplc="1A687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B48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4C9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AA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C2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89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23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46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208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F7BEE"/>
    <w:multiLevelType w:val="hybridMultilevel"/>
    <w:tmpl w:val="3AFC39D2"/>
    <w:lvl w:ilvl="0" w:tplc="126C0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EC3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4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0A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41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42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EE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48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460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04159">
    <w:abstractNumId w:val="5"/>
  </w:num>
  <w:num w:numId="2" w16cid:durableId="419645072">
    <w:abstractNumId w:val="0"/>
  </w:num>
  <w:num w:numId="3" w16cid:durableId="979307485">
    <w:abstractNumId w:val="2"/>
  </w:num>
  <w:num w:numId="4" w16cid:durableId="1923904042">
    <w:abstractNumId w:val="4"/>
  </w:num>
  <w:num w:numId="5" w16cid:durableId="1814324760">
    <w:abstractNumId w:val="3"/>
  </w:num>
  <w:num w:numId="6" w16cid:durableId="88162611">
    <w:abstractNumId w:val="1"/>
  </w:num>
  <w:num w:numId="7" w16cid:durableId="192960726">
    <w:abstractNumId w:val="6"/>
  </w:num>
  <w:num w:numId="8" w16cid:durableId="190194241">
    <w:abstractNumId w:val="8"/>
  </w:num>
  <w:num w:numId="9" w16cid:durableId="941954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FC"/>
    <w:rsid w:val="00000A70"/>
    <w:rsid w:val="000032B8"/>
    <w:rsid w:val="00003B06"/>
    <w:rsid w:val="000054B9"/>
    <w:rsid w:val="000061E2"/>
    <w:rsid w:val="00007461"/>
    <w:rsid w:val="0001117E"/>
    <w:rsid w:val="0001125F"/>
    <w:rsid w:val="00011C16"/>
    <w:rsid w:val="00012651"/>
    <w:rsid w:val="0001338E"/>
    <w:rsid w:val="00013D24"/>
    <w:rsid w:val="00014AF0"/>
    <w:rsid w:val="000155D6"/>
    <w:rsid w:val="00015D4E"/>
    <w:rsid w:val="000162D1"/>
    <w:rsid w:val="00020C1E"/>
    <w:rsid w:val="00020E9B"/>
    <w:rsid w:val="00021A28"/>
    <w:rsid w:val="00021C47"/>
    <w:rsid w:val="0002245F"/>
    <w:rsid w:val="000236C1"/>
    <w:rsid w:val="000236EC"/>
    <w:rsid w:val="0002413D"/>
    <w:rsid w:val="000242CC"/>
    <w:rsid w:val="000249F2"/>
    <w:rsid w:val="00024B9A"/>
    <w:rsid w:val="000253B7"/>
    <w:rsid w:val="0002668E"/>
    <w:rsid w:val="00026B43"/>
    <w:rsid w:val="00026E7E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09DA"/>
    <w:rsid w:val="00043B84"/>
    <w:rsid w:val="0004512B"/>
    <w:rsid w:val="000463F0"/>
    <w:rsid w:val="00046BDA"/>
    <w:rsid w:val="0004762E"/>
    <w:rsid w:val="00047E88"/>
    <w:rsid w:val="000532BD"/>
    <w:rsid w:val="000555E0"/>
    <w:rsid w:val="00055C12"/>
    <w:rsid w:val="000608B0"/>
    <w:rsid w:val="0006104C"/>
    <w:rsid w:val="00064BF2"/>
    <w:rsid w:val="000667BA"/>
    <w:rsid w:val="000676A7"/>
    <w:rsid w:val="000709E7"/>
    <w:rsid w:val="00073914"/>
    <w:rsid w:val="00074236"/>
    <w:rsid w:val="000746BD"/>
    <w:rsid w:val="00076D7D"/>
    <w:rsid w:val="00080D95"/>
    <w:rsid w:val="00090358"/>
    <w:rsid w:val="00090E6B"/>
    <w:rsid w:val="00091B2C"/>
    <w:rsid w:val="00092ABC"/>
    <w:rsid w:val="00097AAF"/>
    <w:rsid w:val="00097D13"/>
    <w:rsid w:val="000A43DB"/>
    <w:rsid w:val="000A4893"/>
    <w:rsid w:val="000A54E0"/>
    <w:rsid w:val="000A72C4"/>
    <w:rsid w:val="000B0F30"/>
    <w:rsid w:val="000B1486"/>
    <w:rsid w:val="000B31DA"/>
    <w:rsid w:val="000B3E61"/>
    <w:rsid w:val="000B54AF"/>
    <w:rsid w:val="000B6090"/>
    <w:rsid w:val="000B6D56"/>
    <w:rsid w:val="000B6FEE"/>
    <w:rsid w:val="000C12C4"/>
    <w:rsid w:val="000C49DA"/>
    <w:rsid w:val="000C4B3D"/>
    <w:rsid w:val="000C6DC1"/>
    <w:rsid w:val="000C6E20"/>
    <w:rsid w:val="000C76D7"/>
    <w:rsid w:val="000C7F1D"/>
    <w:rsid w:val="000D070F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0F7621"/>
    <w:rsid w:val="0010154D"/>
    <w:rsid w:val="00102D3F"/>
    <w:rsid w:val="00102EC7"/>
    <w:rsid w:val="0010347D"/>
    <w:rsid w:val="001067B4"/>
    <w:rsid w:val="00106A6C"/>
    <w:rsid w:val="00110F8C"/>
    <w:rsid w:val="0011274A"/>
    <w:rsid w:val="00113522"/>
    <w:rsid w:val="0011378D"/>
    <w:rsid w:val="00113D9B"/>
    <w:rsid w:val="00114FBA"/>
    <w:rsid w:val="00115EE9"/>
    <w:rsid w:val="001169F9"/>
    <w:rsid w:val="00120544"/>
    <w:rsid w:val="00120797"/>
    <w:rsid w:val="001218D2"/>
    <w:rsid w:val="0012371B"/>
    <w:rsid w:val="001245C8"/>
    <w:rsid w:val="00124653"/>
    <w:rsid w:val="001247C5"/>
    <w:rsid w:val="00127893"/>
    <w:rsid w:val="001312BB"/>
    <w:rsid w:val="001361DE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892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915"/>
    <w:rsid w:val="00184B03"/>
    <w:rsid w:val="00185C59"/>
    <w:rsid w:val="00187C1B"/>
    <w:rsid w:val="001908AC"/>
    <w:rsid w:val="00190CFB"/>
    <w:rsid w:val="0019457A"/>
    <w:rsid w:val="00194EFD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4947"/>
    <w:rsid w:val="001C5537"/>
    <w:rsid w:val="001C60B5"/>
    <w:rsid w:val="001C61B0"/>
    <w:rsid w:val="001C7957"/>
    <w:rsid w:val="001C7DB8"/>
    <w:rsid w:val="001C7EA8"/>
    <w:rsid w:val="001D0AAE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1F7229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05B1"/>
    <w:rsid w:val="0022177D"/>
    <w:rsid w:val="00222208"/>
    <w:rsid w:val="002242DA"/>
    <w:rsid w:val="00224C37"/>
    <w:rsid w:val="0022538A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77A"/>
    <w:rsid w:val="0024691D"/>
    <w:rsid w:val="00247D27"/>
    <w:rsid w:val="00250A50"/>
    <w:rsid w:val="00251ED5"/>
    <w:rsid w:val="0025407E"/>
    <w:rsid w:val="00255EB6"/>
    <w:rsid w:val="00257429"/>
    <w:rsid w:val="00260FA4"/>
    <w:rsid w:val="00261183"/>
    <w:rsid w:val="00262A66"/>
    <w:rsid w:val="00263140"/>
    <w:rsid w:val="002631C8"/>
    <w:rsid w:val="002647D4"/>
    <w:rsid w:val="002647D7"/>
    <w:rsid w:val="00265133"/>
    <w:rsid w:val="00265A23"/>
    <w:rsid w:val="00267841"/>
    <w:rsid w:val="002710C3"/>
    <w:rsid w:val="002734D6"/>
    <w:rsid w:val="00273C8A"/>
    <w:rsid w:val="00274C45"/>
    <w:rsid w:val="00275109"/>
    <w:rsid w:val="00275BEE"/>
    <w:rsid w:val="00277434"/>
    <w:rsid w:val="00277D80"/>
    <w:rsid w:val="00280123"/>
    <w:rsid w:val="00281343"/>
    <w:rsid w:val="00281883"/>
    <w:rsid w:val="002874E3"/>
    <w:rsid w:val="00287656"/>
    <w:rsid w:val="00291518"/>
    <w:rsid w:val="0029470A"/>
    <w:rsid w:val="00296FF0"/>
    <w:rsid w:val="002A17C0"/>
    <w:rsid w:val="002A38C2"/>
    <w:rsid w:val="002A48DF"/>
    <w:rsid w:val="002A5A84"/>
    <w:rsid w:val="002A6E6F"/>
    <w:rsid w:val="002A74E4"/>
    <w:rsid w:val="002A7CFE"/>
    <w:rsid w:val="002B0CB2"/>
    <w:rsid w:val="002B26DD"/>
    <w:rsid w:val="002B2870"/>
    <w:rsid w:val="002B391B"/>
    <w:rsid w:val="002B5B42"/>
    <w:rsid w:val="002B752C"/>
    <w:rsid w:val="002B7BA7"/>
    <w:rsid w:val="002C1C17"/>
    <w:rsid w:val="002C3203"/>
    <w:rsid w:val="002C3B07"/>
    <w:rsid w:val="002C532B"/>
    <w:rsid w:val="002C5713"/>
    <w:rsid w:val="002C66F6"/>
    <w:rsid w:val="002D05CC"/>
    <w:rsid w:val="002D16B9"/>
    <w:rsid w:val="002D305A"/>
    <w:rsid w:val="002E1ACC"/>
    <w:rsid w:val="002E21B8"/>
    <w:rsid w:val="002E772C"/>
    <w:rsid w:val="002E7DF9"/>
    <w:rsid w:val="002F097B"/>
    <w:rsid w:val="002F2147"/>
    <w:rsid w:val="002F2F18"/>
    <w:rsid w:val="002F3111"/>
    <w:rsid w:val="002F4AEC"/>
    <w:rsid w:val="002F53CF"/>
    <w:rsid w:val="002F795D"/>
    <w:rsid w:val="00300823"/>
    <w:rsid w:val="00300D7F"/>
    <w:rsid w:val="00301638"/>
    <w:rsid w:val="00303B0C"/>
    <w:rsid w:val="0030459C"/>
    <w:rsid w:val="00305485"/>
    <w:rsid w:val="00313DFE"/>
    <w:rsid w:val="003143B2"/>
    <w:rsid w:val="00314821"/>
    <w:rsid w:val="0031483F"/>
    <w:rsid w:val="0031741B"/>
    <w:rsid w:val="00320BBE"/>
    <w:rsid w:val="00321337"/>
    <w:rsid w:val="00321F2F"/>
    <w:rsid w:val="003233C6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4CAA"/>
    <w:rsid w:val="00345844"/>
    <w:rsid w:val="00347B4A"/>
    <w:rsid w:val="003500C3"/>
    <w:rsid w:val="003516C5"/>
    <w:rsid w:val="003523BD"/>
    <w:rsid w:val="0035266B"/>
    <w:rsid w:val="00352681"/>
    <w:rsid w:val="00352A2F"/>
    <w:rsid w:val="003536AA"/>
    <w:rsid w:val="0035388B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6678A"/>
    <w:rsid w:val="00367302"/>
    <w:rsid w:val="00370155"/>
    <w:rsid w:val="003712D5"/>
    <w:rsid w:val="003747DF"/>
    <w:rsid w:val="00376709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A5DCB"/>
    <w:rsid w:val="003A73E4"/>
    <w:rsid w:val="003B1501"/>
    <w:rsid w:val="003B185E"/>
    <w:rsid w:val="003B198A"/>
    <w:rsid w:val="003B1CA3"/>
    <w:rsid w:val="003B1ED9"/>
    <w:rsid w:val="003B2891"/>
    <w:rsid w:val="003B3DF3"/>
    <w:rsid w:val="003B4770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079"/>
    <w:rsid w:val="003C36FD"/>
    <w:rsid w:val="003C3D5B"/>
    <w:rsid w:val="003C664C"/>
    <w:rsid w:val="003D726D"/>
    <w:rsid w:val="003D7EEF"/>
    <w:rsid w:val="003E060B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06C98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488D"/>
    <w:rsid w:val="00415139"/>
    <w:rsid w:val="004166BB"/>
    <w:rsid w:val="004174CD"/>
    <w:rsid w:val="00421251"/>
    <w:rsid w:val="00422039"/>
    <w:rsid w:val="00422652"/>
    <w:rsid w:val="00423FBC"/>
    <w:rsid w:val="004241AA"/>
    <w:rsid w:val="0042422E"/>
    <w:rsid w:val="004251D2"/>
    <w:rsid w:val="0043190E"/>
    <w:rsid w:val="004324E9"/>
    <w:rsid w:val="004350F3"/>
    <w:rsid w:val="00436805"/>
    <w:rsid w:val="00436980"/>
    <w:rsid w:val="00441016"/>
    <w:rsid w:val="00441F2F"/>
    <w:rsid w:val="0044228B"/>
    <w:rsid w:val="00443106"/>
    <w:rsid w:val="00445CB5"/>
    <w:rsid w:val="00447018"/>
    <w:rsid w:val="00450561"/>
    <w:rsid w:val="00450A40"/>
    <w:rsid w:val="00451D7C"/>
    <w:rsid w:val="00452FC3"/>
    <w:rsid w:val="0045337B"/>
    <w:rsid w:val="00454715"/>
    <w:rsid w:val="00455936"/>
    <w:rsid w:val="00455ACE"/>
    <w:rsid w:val="00461B69"/>
    <w:rsid w:val="00462B3D"/>
    <w:rsid w:val="00462CC8"/>
    <w:rsid w:val="004644E4"/>
    <w:rsid w:val="004659D1"/>
    <w:rsid w:val="00470E4B"/>
    <w:rsid w:val="004742B3"/>
    <w:rsid w:val="00474927"/>
    <w:rsid w:val="00475913"/>
    <w:rsid w:val="00480080"/>
    <w:rsid w:val="004824A7"/>
    <w:rsid w:val="00483AF0"/>
    <w:rsid w:val="00484167"/>
    <w:rsid w:val="00484E3A"/>
    <w:rsid w:val="00487B04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2658"/>
    <w:rsid w:val="004C302F"/>
    <w:rsid w:val="004C4609"/>
    <w:rsid w:val="004C469D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3888"/>
    <w:rsid w:val="004E47F2"/>
    <w:rsid w:val="004E4E2B"/>
    <w:rsid w:val="004E5D4F"/>
    <w:rsid w:val="004E5DEA"/>
    <w:rsid w:val="004E6639"/>
    <w:rsid w:val="004E6BAE"/>
    <w:rsid w:val="004F2C52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58C"/>
    <w:rsid w:val="005269CE"/>
    <w:rsid w:val="005304B2"/>
    <w:rsid w:val="005336BD"/>
    <w:rsid w:val="00534A49"/>
    <w:rsid w:val="00534EDF"/>
    <w:rsid w:val="005363BB"/>
    <w:rsid w:val="005402FE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67A19"/>
    <w:rsid w:val="00571931"/>
    <w:rsid w:val="00573401"/>
    <w:rsid w:val="00576714"/>
    <w:rsid w:val="0057685A"/>
    <w:rsid w:val="005832EE"/>
    <w:rsid w:val="005847C8"/>
    <w:rsid w:val="005847EF"/>
    <w:rsid w:val="005851E6"/>
    <w:rsid w:val="005878B7"/>
    <w:rsid w:val="00592C9A"/>
    <w:rsid w:val="00593DF8"/>
    <w:rsid w:val="00594380"/>
    <w:rsid w:val="00595745"/>
    <w:rsid w:val="00595EC8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1D72"/>
    <w:rsid w:val="005C2B21"/>
    <w:rsid w:val="005C2C00"/>
    <w:rsid w:val="005C4C6F"/>
    <w:rsid w:val="005C5127"/>
    <w:rsid w:val="005C7CCB"/>
    <w:rsid w:val="005D1444"/>
    <w:rsid w:val="005D2F31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E7A4D"/>
    <w:rsid w:val="005F1519"/>
    <w:rsid w:val="005F4862"/>
    <w:rsid w:val="005F5679"/>
    <w:rsid w:val="005F5FDF"/>
    <w:rsid w:val="005F6960"/>
    <w:rsid w:val="005F7000"/>
    <w:rsid w:val="005F716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7816"/>
    <w:rsid w:val="006402E7"/>
    <w:rsid w:val="00640CB6"/>
    <w:rsid w:val="00641B42"/>
    <w:rsid w:val="00645750"/>
    <w:rsid w:val="00650692"/>
    <w:rsid w:val="006508D3"/>
    <w:rsid w:val="00650AFA"/>
    <w:rsid w:val="006513C0"/>
    <w:rsid w:val="006552FC"/>
    <w:rsid w:val="006575C7"/>
    <w:rsid w:val="00662B77"/>
    <w:rsid w:val="00662D0E"/>
    <w:rsid w:val="00663265"/>
    <w:rsid w:val="0066345F"/>
    <w:rsid w:val="0066485B"/>
    <w:rsid w:val="006649EF"/>
    <w:rsid w:val="0066530E"/>
    <w:rsid w:val="0067036E"/>
    <w:rsid w:val="00671693"/>
    <w:rsid w:val="00673179"/>
    <w:rsid w:val="006757AA"/>
    <w:rsid w:val="00680C2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97D10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E5E8F"/>
    <w:rsid w:val="006F365D"/>
    <w:rsid w:val="006F4BB0"/>
    <w:rsid w:val="007031BD"/>
    <w:rsid w:val="00703E80"/>
    <w:rsid w:val="00704BAA"/>
    <w:rsid w:val="00705276"/>
    <w:rsid w:val="007066A0"/>
    <w:rsid w:val="007075FB"/>
    <w:rsid w:val="0070787B"/>
    <w:rsid w:val="0071131D"/>
    <w:rsid w:val="00711E3D"/>
    <w:rsid w:val="00711E85"/>
    <w:rsid w:val="00711F0F"/>
    <w:rsid w:val="0071268E"/>
    <w:rsid w:val="00712DDA"/>
    <w:rsid w:val="00717739"/>
    <w:rsid w:val="00717DE4"/>
    <w:rsid w:val="00721724"/>
    <w:rsid w:val="007220F6"/>
    <w:rsid w:val="00722EC5"/>
    <w:rsid w:val="00723326"/>
    <w:rsid w:val="00724252"/>
    <w:rsid w:val="00727E7A"/>
    <w:rsid w:val="0073163C"/>
    <w:rsid w:val="00731DE3"/>
    <w:rsid w:val="00733D82"/>
    <w:rsid w:val="00735B9D"/>
    <w:rsid w:val="007365A5"/>
    <w:rsid w:val="00736FB0"/>
    <w:rsid w:val="007404BC"/>
    <w:rsid w:val="00740D13"/>
    <w:rsid w:val="00740F5F"/>
    <w:rsid w:val="00742794"/>
    <w:rsid w:val="00743C4C"/>
    <w:rsid w:val="00744544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2E"/>
    <w:rsid w:val="0077779E"/>
    <w:rsid w:val="00780FB6"/>
    <w:rsid w:val="00782BEE"/>
    <w:rsid w:val="00784477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1B1D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11E3"/>
    <w:rsid w:val="007E33B6"/>
    <w:rsid w:val="007E59E8"/>
    <w:rsid w:val="007F1B49"/>
    <w:rsid w:val="007F3861"/>
    <w:rsid w:val="007F4162"/>
    <w:rsid w:val="007F5441"/>
    <w:rsid w:val="007F7668"/>
    <w:rsid w:val="00800C63"/>
    <w:rsid w:val="00801326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885"/>
    <w:rsid w:val="00842900"/>
    <w:rsid w:val="00842D98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248"/>
    <w:rsid w:val="0086231A"/>
    <w:rsid w:val="0086477C"/>
    <w:rsid w:val="00864BAD"/>
    <w:rsid w:val="00864E0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86313"/>
    <w:rsid w:val="00890B59"/>
    <w:rsid w:val="008930D7"/>
    <w:rsid w:val="008947A7"/>
    <w:rsid w:val="00897E80"/>
    <w:rsid w:val="008A04FA"/>
    <w:rsid w:val="008A1236"/>
    <w:rsid w:val="008A1D00"/>
    <w:rsid w:val="008A1E46"/>
    <w:rsid w:val="008A289F"/>
    <w:rsid w:val="008A3188"/>
    <w:rsid w:val="008A3FDF"/>
    <w:rsid w:val="008A44C3"/>
    <w:rsid w:val="008A6418"/>
    <w:rsid w:val="008A6AE0"/>
    <w:rsid w:val="008B05D8"/>
    <w:rsid w:val="008B0B3D"/>
    <w:rsid w:val="008B2B1A"/>
    <w:rsid w:val="008B3428"/>
    <w:rsid w:val="008B4A91"/>
    <w:rsid w:val="008B706A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0C9E"/>
    <w:rsid w:val="008F3053"/>
    <w:rsid w:val="008F3136"/>
    <w:rsid w:val="008F40DF"/>
    <w:rsid w:val="008F5E16"/>
    <w:rsid w:val="008F5EFC"/>
    <w:rsid w:val="009002EA"/>
    <w:rsid w:val="00900AAB"/>
    <w:rsid w:val="00901670"/>
    <w:rsid w:val="00902212"/>
    <w:rsid w:val="00903E0A"/>
    <w:rsid w:val="00904721"/>
    <w:rsid w:val="00907780"/>
    <w:rsid w:val="00907EDD"/>
    <w:rsid w:val="009107AD"/>
    <w:rsid w:val="0091509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5CD1"/>
    <w:rsid w:val="009375BB"/>
    <w:rsid w:val="009418E9"/>
    <w:rsid w:val="00942667"/>
    <w:rsid w:val="00946044"/>
    <w:rsid w:val="0094653B"/>
    <w:rsid w:val="009465AB"/>
    <w:rsid w:val="00946DEE"/>
    <w:rsid w:val="00950126"/>
    <w:rsid w:val="00953499"/>
    <w:rsid w:val="00954A16"/>
    <w:rsid w:val="0095696D"/>
    <w:rsid w:val="00960F2D"/>
    <w:rsid w:val="0096463F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4818"/>
    <w:rsid w:val="00984944"/>
    <w:rsid w:val="009851B3"/>
    <w:rsid w:val="00985300"/>
    <w:rsid w:val="00986720"/>
    <w:rsid w:val="00987F00"/>
    <w:rsid w:val="00991974"/>
    <w:rsid w:val="0099403D"/>
    <w:rsid w:val="00995B0B"/>
    <w:rsid w:val="009A1883"/>
    <w:rsid w:val="009A39F5"/>
    <w:rsid w:val="009A4588"/>
    <w:rsid w:val="009A47BB"/>
    <w:rsid w:val="009A503A"/>
    <w:rsid w:val="009A5EA5"/>
    <w:rsid w:val="009B00C2"/>
    <w:rsid w:val="009B26AB"/>
    <w:rsid w:val="009B3476"/>
    <w:rsid w:val="009B39BC"/>
    <w:rsid w:val="009B4868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1AAF"/>
    <w:rsid w:val="009E3631"/>
    <w:rsid w:val="009E3EB9"/>
    <w:rsid w:val="009E69C2"/>
    <w:rsid w:val="009E70AF"/>
    <w:rsid w:val="009E7AEB"/>
    <w:rsid w:val="009F0180"/>
    <w:rsid w:val="009F04E5"/>
    <w:rsid w:val="009F1B37"/>
    <w:rsid w:val="009F4B4A"/>
    <w:rsid w:val="009F4EB0"/>
    <w:rsid w:val="009F4F2B"/>
    <w:rsid w:val="009F513E"/>
    <w:rsid w:val="009F543C"/>
    <w:rsid w:val="009F5802"/>
    <w:rsid w:val="009F64AE"/>
    <w:rsid w:val="009F7E4E"/>
    <w:rsid w:val="00A0023A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43A1"/>
    <w:rsid w:val="00A07689"/>
    <w:rsid w:val="00A07906"/>
    <w:rsid w:val="00A10908"/>
    <w:rsid w:val="00A12330"/>
    <w:rsid w:val="00A1259F"/>
    <w:rsid w:val="00A125B9"/>
    <w:rsid w:val="00A1446F"/>
    <w:rsid w:val="00A151B5"/>
    <w:rsid w:val="00A220FF"/>
    <w:rsid w:val="00A227E0"/>
    <w:rsid w:val="00A232E4"/>
    <w:rsid w:val="00A24AAD"/>
    <w:rsid w:val="00A26A8A"/>
    <w:rsid w:val="00A27255"/>
    <w:rsid w:val="00A30576"/>
    <w:rsid w:val="00A32304"/>
    <w:rsid w:val="00A325FA"/>
    <w:rsid w:val="00A3420E"/>
    <w:rsid w:val="00A35D66"/>
    <w:rsid w:val="00A41085"/>
    <w:rsid w:val="00A425FA"/>
    <w:rsid w:val="00A436BE"/>
    <w:rsid w:val="00A43960"/>
    <w:rsid w:val="00A46902"/>
    <w:rsid w:val="00A50CDB"/>
    <w:rsid w:val="00A50DE5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2657"/>
    <w:rsid w:val="00A6344D"/>
    <w:rsid w:val="00A644B8"/>
    <w:rsid w:val="00A67213"/>
    <w:rsid w:val="00A70465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A18"/>
    <w:rsid w:val="00AC2E0C"/>
    <w:rsid w:val="00AC2E9A"/>
    <w:rsid w:val="00AC3330"/>
    <w:rsid w:val="00AC5AAB"/>
    <w:rsid w:val="00AC5AEC"/>
    <w:rsid w:val="00AC5F28"/>
    <w:rsid w:val="00AC6900"/>
    <w:rsid w:val="00AD0EE5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079"/>
    <w:rsid w:val="00B26437"/>
    <w:rsid w:val="00B2678E"/>
    <w:rsid w:val="00B30647"/>
    <w:rsid w:val="00B31B49"/>
    <w:rsid w:val="00B31F0E"/>
    <w:rsid w:val="00B349F9"/>
    <w:rsid w:val="00B34F25"/>
    <w:rsid w:val="00B43672"/>
    <w:rsid w:val="00B473D8"/>
    <w:rsid w:val="00B47464"/>
    <w:rsid w:val="00B5165A"/>
    <w:rsid w:val="00B524C1"/>
    <w:rsid w:val="00B52C8D"/>
    <w:rsid w:val="00B543F6"/>
    <w:rsid w:val="00B564BF"/>
    <w:rsid w:val="00B6104E"/>
    <w:rsid w:val="00B610C7"/>
    <w:rsid w:val="00B62106"/>
    <w:rsid w:val="00B626A8"/>
    <w:rsid w:val="00B65695"/>
    <w:rsid w:val="00B66526"/>
    <w:rsid w:val="00B665A3"/>
    <w:rsid w:val="00B6699C"/>
    <w:rsid w:val="00B66FEF"/>
    <w:rsid w:val="00B6747C"/>
    <w:rsid w:val="00B73BB4"/>
    <w:rsid w:val="00B762F4"/>
    <w:rsid w:val="00B80532"/>
    <w:rsid w:val="00B82039"/>
    <w:rsid w:val="00B82454"/>
    <w:rsid w:val="00B82921"/>
    <w:rsid w:val="00B90097"/>
    <w:rsid w:val="00B90999"/>
    <w:rsid w:val="00B91AD7"/>
    <w:rsid w:val="00B92D23"/>
    <w:rsid w:val="00B9597C"/>
    <w:rsid w:val="00B95BC8"/>
    <w:rsid w:val="00B966F5"/>
    <w:rsid w:val="00B96E87"/>
    <w:rsid w:val="00BA0D9F"/>
    <w:rsid w:val="00BA146A"/>
    <w:rsid w:val="00BA32EE"/>
    <w:rsid w:val="00BA5026"/>
    <w:rsid w:val="00BB1A40"/>
    <w:rsid w:val="00BB532D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27E9"/>
    <w:rsid w:val="00BD4E55"/>
    <w:rsid w:val="00BD513B"/>
    <w:rsid w:val="00BD5E52"/>
    <w:rsid w:val="00BE00CD"/>
    <w:rsid w:val="00BE0E75"/>
    <w:rsid w:val="00BE1789"/>
    <w:rsid w:val="00BE2A5D"/>
    <w:rsid w:val="00BE3634"/>
    <w:rsid w:val="00BE3E30"/>
    <w:rsid w:val="00BE4AE7"/>
    <w:rsid w:val="00BE5274"/>
    <w:rsid w:val="00BE71CD"/>
    <w:rsid w:val="00BE7748"/>
    <w:rsid w:val="00BE7BDA"/>
    <w:rsid w:val="00BF0548"/>
    <w:rsid w:val="00BF260E"/>
    <w:rsid w:val="00BF4949"/>
    <w:rsid w:val="00BF4D7C"/>
    <w:rsid w:val="00BF5085"/>
    <w:rsid w:val="00C004CF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72D"/>
    <w:rsid w:val="00C248E6"/>
    <w:rsid w:val="00C262AA"/>
    <w:rsid w:val="00C2726D"/>
    <w:rsid w:val="00C2766F"/>
    <w:rsid w:val="00C3223B"/>
    <w:rsid w:val="00C3260D"/>
    <w:rsid w:val="00C32F4D"/>
    <w:rsid w:val="00C333C6"/>
    <w:rsid w:val="00C35CC5"/>
    <w:rsid w:val="00C361C5"/>
    <w:rsid w:val="00C377D1"/>
    <w:rsid w:val="00C378B7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234E"/>
    <w:rsid w:val="00C62DBF"/>
    <w:rsid w:val="00C65821"/>
    <w:rsid w:val="00C72956"/>
    <w:rsid w:val="00C73045"/>
    <w:rsid w:val="00C73212"/>
    <w:rsid w:val="00C7354A"/>
    <w:rsid w:val="00C74039"/>
    <w:rsid w:val="00C74379"/>
    <w:rsid w:val="00C74DD8"/>
    <w:rsid w:val="00C75C5E"/>
    <w:rsid w:val="00C7669F"/>
    <w:rsid w:val="00C76DFF"/>
    <w:rsid w:val="00C80B8F"/>
    <w:rsid w:val="00C82743"/>
    <w:rsid w:val="00C82D80"/>
    <w:rsid w:val="00C834CE"/>
    <w:rsid w:val="00C9047F"/>
    <w:rsid w:val="00C91F65"/>
    <w:rsid w:val="00C92310"/>
    <w:rsid w:val="00C937F5"/>
    <w:rsid w:val="00C95150"/>
    <w:rsid w:val="00C95A73"/>
    <w:rsid w:val="00CA02B0"/>
    <w:rsid w:val="00CA032E"/>
    <w:rsid w:val="00CA114C"/>
    <w:rsid w:val="00CA2182"/>
    <w:rsid w:val="00CA2186"/>
    <w:rsid w:val="00CA26EF"/>
    <w:rsid w:val="00CA3608"/>
    <w:rsid w:val="00CA4C5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68DF"/>
    <w:rsid w:val="00CB74CB"/>
    <w:rsid w:val="00CB7DC1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2EC5"/>
    <w:rsid w:val="00CE300F"/>
    <w:rsid w:val="00CE3582"/>
    <w:rsid w:val="00CE3795"/>
    <w:rsid w:val="00CE3E20"/>
    <w:rsid w:val="00CE74AF"/>
    <w:rsid w:val="00CF4827"/>
    <w:rsid w:val="00CF4C69"/>
    <w:rsid w:val="00CF581C"/>
    <w:rsid w:val="00CF5E62"/>
    <w:rsid w:val="00CF71E0"/>
    <w:rsid w:val="00D001B1"/>
    <w:rsid w:val="00D03176"/>
    <w:rsid w:val="00D060A8"/>
    <w:rsid w:val="00D06605"/>
    <w:rsid w:val="00D0720F"/>
    <w:rsid w:val="00D074E2"/>
    <w:rsid w:val="00D07EFD"/>
    <w:rsid w:val="00D11B0B"/>
    <w:rsid w:val="00D12A3E"/>
    <w:rsid w:val="00D21011"/>
    <w:rsid w:val="00D22160"/>
    <w:rsid w:val="00D22172"/>
    <w:rsid w:val="00D2301B"/>
    <w:rsid w:val="00D239EE"/>
    <w:rsid w:val="00D30534"/>
    <w:rsid w:val="00D3216C"/>
    <w:rsid w:val="00D33CA4"/>
    <w:rsid w:val="00D346D9"/>
    <w:rsid w:val="00D35728"/>
    <w:rsid w:val="00D359A7"/>
    <w:rsid w:val="00D37BCF"/>
    <w:rsid w:val="00D40F93"/>
    <w:rsid w:val="00D42277"/>
    <w:rsid w:val="00D43C59"/>
    <w:rsid w:val="00D44ADE"/>
    <w:rsid w:val="00D4762B"/>
    <w:rsid w:val="00D50D65"/>
    <w:rsid w:val="00D512E0"/>
    <w:rsid w:val="00D519F3"/>
    <w:rsid w:val="00D51D2A"/>
    <w:rsid w:val="00D53B7C"/>
    <w:rsid w:val="00D55F52"/>
    <w:rsid w:val="00D56508"/>
    <w:rsid w:val="00D572A5"/>
    <w:rsid w:val="00D6131A"/>
    <w:rsid w:val="00D61611"/>
    <w:rsid w:val="00D61784"/>
    <w:rsid w:val="00D6178A"/>
    <w:rsid w:val="00D634A7"/>
    <w:rsid w:val="00D63B53"/>
    <w:rsid w:val="00D64B88"/>
    <w:rsid w:val="00D64DC5"/>
    <w:rsid w:val="00D66BA6"/>
    <w:rsid w:val="00D700B1"/>
    <w:rsid w:val="00D730FA"/>
    <w:rsid w:val="00D75F1C"/>
    <w:rsid w:val="00D765E7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3AB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4ECF"/>
    <w:rsid w:val="00DA564B"/>
    <w:rsid w:val="00DA6A5C"/>
    <w:rsid w:val="00DB05ED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3E2"/>
    <w:rsid w:val="00DD1B8F"/>
    <w:rsid w:val="00DD5141"/>
    <w:rsid w:val="00DD5BCC"/>
    <w:rsid w:val="00DD685E"/>
    <w:rsid w:val="00DD7509"/>
    <w:rsid w:val="00DD79C7"/>
    <w:rsid w:val="00DD7D6E"/>
    <w:rsid w:val="00DE12F9"/>
    <w:rsid w:val="00DE1366"/>
    <w:rsid w:val="00DE34B2"/>
    <w:rsid w:val="00DE49DE"/>
    <w:rsid w:val="00DE618B"/>
    <w:rsid w:val="00DE6EC2"/>
    <w:rsid w:val="00DE7248"/>
    <w:rsid w:val="00DF0834"/>
    <w:rsid w:val="00DF0873"/>
    <w:rsid w:val="00DF2707"/>
    <w:rsid w:val="00DF27C2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233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2062"/>
    <w:rsid w:val="00E2551E"/>
    <w:rsid w:val="00E26B13"/>
    <w:rsid w:val="00E27E5A"/>
    <w:rsid w:val="00E30494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3F41"/>
    <w:rsid w:val="00E443CE"/>
    <w:rsid w:val="00E45547"/>
    <w:rsid w:val="00E500F1"/>
    <w:rsid w:val="00E51446"/>
    <w:rsid w:val="00E529C8"/>
    <w:rsid w:val="00E55DA0"/>
    <w:rsid w:val="00E56033"/>
    <w:rsid w:val="00E5654B"/>
    <w:rsid w:val="00E61159"/>
    <w:rsid w:val="00E625DA"/>
    <w:rsid w:val="00E634DC"/>
    <w:rsid w:val="00E64141"/>
    <w:rsid w:val="00E667F3"/>
    <w:rsid w:val="00E67794"/>
    <w:rsid w:val="00E70CC6"/>
    <w:rsid w:val="00E71254"/>
    <w:rsid w:val="00E73CCD"/>
    <w:rsid w:val="00E76453"/>
    <w:rsid w:val="00E77353"/>
    <w:rsid w:val="00E775AE"/>
    <w:rsid w:val="00E80650"/>
    <w:rsid w:val="00E8272C"/>
    <w:rsid w:val="00E827C7"/>
    <w:rsid w:val="00E85DBD"/>
    <w:rsid w:val="00E87A99"/>
    <w:rsid w:val="00E90702"/>
    <w:rsid w:val="00E9078F"/>
    <w:rsid w:val="00E9241E"/>
    <w:rsid w:val="00E93DEF"/>
    <w:rsid w:val="00E947B1"/>
    <w:rsid w:val="00E96852"/>
    <w:rsid w:val="00E96F50"/>
    <w:rsid w:val="00EA16AC"/>
    <w:rsid w:val="00EA385A"/>
    <w:rsid w:val="00EA3931"/>
    <w:rsid w:val="00EA4EBA"/>
    <w:rsid w:val="00EA658E"/>
    <w:rsid w:val="00EA7A88"/>
    <w:rsid w:val="00EB1B63"/>
    <w:rsid w:val="00EB27F2"/>
    <w:rsid w:val="00EB3267"/>
    <w:rsid w:val="00EB3928"/>
    <w:rsid w:val="00EB5373"/>
    <w:rsid w:val="00EC02A2"/>
    <w:rsid w:val="00EC2C19"/>
    <w:rsid w:val="00EC379B"/>
    <w:rsid w:val="00EC37DF"/>
    <w:rsid w:val="00EC3A99"/>
    <w:rsid w:val="00EC41B1"/>
    <w:rsid w:val="00ED0665"/>
    <w:rsid w:val="00ED12C0"/>
    <w:rsid w:val="00ED19F0"/>
    <w:rsid w:val="00ED2B50"/>
    <w:rsid w:val="00ED3392"/>
    <w:rsid w:val="00ED3A32"/>
    <w:rsid w:val="00ED3BDE"/>
    <w:rsid w:val="00ED4F53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02CA"/>
    <w:rsid w:val="00F01DFA"/>
    <w:rsid w:val="00F02096"/>
    <w:rsid w:val="00F02457"/>
    <w:rsid w:val="00F036C3"/>
    <w:rsid w:val="00F0417E"/>
    <w:rsid w:val="00F05397"/>
    <w:rsid w:val="00F0638C"/>
    <w:rsid w:val="00F1065D"/>
    <w:rsid w:val="00F11E04"/>
    <w:rsid w:val="00F12B24"/>
    <w:rsid w:val="00F12BC7"/>
    <w:rsid w:val="00F13F09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011"/>
    <w:rsid w:val="00F40B14"/>
    <w:rsid w:val="00F41186"/>
    <w:rsid w:val="00F41EEF"/>
    <w:rsid w:val="00F41FAC"/>
    <w:rsid w:val="00F420C6"/>
    <w:rsid w:val="00F423D3"/>
    <w:rsid w:val="00F43DF1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6A4C"/>
    <w:rsid w:val="00F67981"/>
    <w:rsid w:val="00F67B57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20CF"/>
    <w:rsid w:val="00FA32FC"/>
    <w:rsid w:val="00FA3DAA"/>
    <w:rsid w:val="00FA59FD"/>
    <w:rsid w:val="00FA5D8C"/>
    <w:rsid w:val="00FA6403"/>
    <w:rsid w:val="00FB16CD"/>
    <w:rsid w:val="00FB5FDA"/>
    <w:rsid w:val="00FB73AE"/>
    <w:rsid w:val="00FC3B9A"/>
    <w:rsid w:val="00FC5388"/>
    <w:rsid w:val="00FC726C"/>
    <w:rsid w:val="00FC7737"/>
    <w:rsid w:val="00FD1B4B"/>
    <w:rsid w:val="00FD1B94"/>
    <w:rsid w:val="00FD203D"/>
    <w:rsid w:val="00FD44BE"/>
    <w:rsid w:val="00FE0556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3F5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A5977B-7522-44A1-BA51-7BA482F5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552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5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52F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5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52FC"/>
    <w:rPr>
      <w:b/>
      <w:bCs/>
    </w:rPr>
  </w:style>
  <w:style w:type="paragraph" w:styleId="Revision">
    <w:name w:val="Revision"/>
    <w:hidden/>
    <w:uiPriority w:val="99"/>
    <w:semiHidden/>
    <w:rsid w:val="00A70465"/>
    <w:rPr>
      <w:sz w:val="24"/>
      <w:szCs w:val="24"/>
    </w:rPr>
  </w:style>
  <w:style w:type="character" w:styleId="Hyperlink">
    <w:name w:val="Hyperlink"/>
    <w:basedOn w:val="DefaultParagraphFont"/>
    <w:unhideWhenUsed/>
    <w:rsid w:val="002D16B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6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1552</Words>
  <Characters>8560</Characters>
  <Application>Microsoft Office Word</Application>
  <DocSecurity>0</DocSecurity>
  <Lines>153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HB03041 (Committee Report (Substituted))</vt:lpstr>
    </vt:vector>
  </TitlesOfParts>
  <Company>State of Texas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25251</dc:subject>
  <dc:creator>State of Texas</dc:creator>
  <dc:description>HB 3041 by Paul-(H)Higher Education (Substitute Document Number: 89R 24502)</dc:description>
  <cp:lastModifiedBy>Damian Duarte</cp:lastModifiedBy>
  <cp:revision>2</cp:revision>
  <cp:lastPrinted>2003-11-26T17:21:00Z</cp:lastPrinted>
  <dcterms:created xsi:type="dcterms:W3CDTF">2025-04-22T22:01:00Z</dcterms:created>
  <dcterms:modified xsi:type="dcterms:W3CDTF">2025-04-22T22:01:00Z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25.109.62</vt:lpwstr>
  </property>
</Properties>
</file>