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C0CB8" w14:paraId="4D9B0F45" w14:textId="77777777" w:rsidTr="00345119">
        <w:tc>
          <w:tcPr>
            <w:tcW w:w="9576" w:type="dxa"/>
            <w:noWrap/>
          </w:tcPr>
          <w:p w14:paraId="379E43C8" w14:textId="77777777" w:rsidR="008423E4" w:rsidRPr="0022177D" w:rsidRDefault="00875BEB" w:rsidP="00B00C3F">
            <w:pPr>
              <w:pStyle w:val="Heading1"/>
            </w:pPr>
            <w:r w:rsidRPr="00631897">
              <w:t>BILL ANALYSIS</w:t>
            </w:r>
          </w:p>
        </w:tc>
      </w:tr>
    </w:tbl>
    <w:p w14:paraId="50A5AC12" w14:textId="77777777" w:rsidR="008423E4" w:rsidRPr="0022177D" w:rsidRDefault="008423E4" w:rsidP="00B00C3F">
      <w:pPr>
        <w:jc w:val="center"/>
      </w:pPr>
    </w:p>
    <w:p w14:paraId="7EC71EDA" w14:textId="77777777" w:rsidR="008423E4" w:rsidRPr="00B31F0E" w:rsidRDefault="008423E4" w:rsidP="00B00C3F"/>
    <w:p w14:paraId="37F79C1D" w14:textId="77777777" w:rsidR="008423E4" w:rsidRPr="00742794" w:rsidRDefault="008423E4" w:rsidP="00B00C3F">
      <w:pPr>
        <w:tabs>
          <w:tab w:val="right" w:pos="9360"/>
        </w:tabs>
      </w:pPr>
    </w:p>
    <w:tbl>
      <w:tblPr>
        <w:tblW w:w="0" w:type="auto"/>
        <w:tblLayout w:type="fixed"/>
        <w:tblLook w:val="01E0" w:firstRow="1" w:lastRow="1" w:firstColumn="1" w:lastColumn="1" w:noHBand="0" w:noVBand="0"/>
      </w:tblPr>
      <w:tblGrid>
        <w:gridCol w:w="9576"/>
      </w:tblGrid>
      <w:tr w:rsidR="00DC0CB8" w14:paraId="2002EA11" w14:textId="77777777" w:rsidTr="00345119">
        <w:tc>
          <w:tcPr>
            <w:tcW w:w="9576" w:type="dxa"/>
          </w:tcPr>
          <w:p w14:paraId="312CD562" w14:textId="1D700250" w:rsidR="008423E4" w:rsidRPr="00861995" w:rsidRDefault="00875BEB" w:rsidP="00B00C3F">
            <w:pPr>
              <w:jc w:val="right"/>
            </w:pPr>
            <w:r>
              <w:t>H.B. 3053</w:t>
            </w:r>
          </w:p>
        </w:tc>
      </w:tr>
      <w:tr w:rsidR="00DC0CB8" w14:paraId="1722FB25" w14:textId="77777777" w:rsidTr="00345119">
        <w:tc>
          <w:tcPr>
            <w:tcW w:w="9576" w:type="dxa"/>
          </w:tcPr>
          <w:p w14:paraId="2ADA635F" w14:textId="69FF3449" w:rsidR="008423E4" w:rsidRPr="00861995" w:rsidRDefault="00875BEB" w:rsidP="00B00C3F">
            <w:pPr>
              <w:jc w:val="right"/>
            </w:pPr>
            <w:r>
              <w:t xml:space="preserve">By: </w:t>
            </w:r>
            <w:r w:rsidR="009A1A3B">
              <w:t>Virdell</w:t>
            </w:r>
          </w:p>
        </w:tc>
      </w:tr>
      <w:tr w:rsidR="00DC0CB8" w14:paraId="6C84F71B" w14:textId="77777777" w:rsidTr="00345119">
        <w:tc>
          <w:tcPr>
            <w:tcW w:w="9576" w:type="dxa"/>
          </w:tcPr>
          <w:p w14:paraId="340986CB" w14:textId="27B7D7ED" w:rsidR="008423E4" w:rsidRPr="00861995" w:rsidRDefault="00875BEB" w:rsidP="00B00C3F">
            <w:pPr>
              <w:jc w:val="right"/>
            </w:pPr>
            <w:r>
              <w:t>Homeland Security, Public Safety &amp; Veterans' Affairs</w:t>
            </w:r>
          </w:p>
        </w:tc>
      </w:tr>
      <w:tr w:rsidR="00DC0CB8" w14:paraId="1BE4FC96" w14:textId="77777777" w:rsidTr="00345119">
        <w:tc>
          <w:tcPr>
            <w:tcW w:w="9576" w:type="dxa"/>
          </w:tcPr>
          <w:p w14:paraId="4408AD16" w14:textId="7C87569F" w:rsidR="008423E4" w:rsidRDefault="00875BEB" w:rsidP="00B00C3F">
            <w:pPr>
              <w:jc w:val="right"/>
            </w:pPr>
            <w:r>
              <w:t>Committee Report (Unamended)</w:t>
            </w:r>
          </w:p>
        </w:tc>
      </w:tr>
    </w:tbl>
    <w:p w14:paraId="3ABAC6EE" w14:textId="77777777" w:rsidR="008423E4" w:rsidRDefault="008423E4" w:rsidP="00B00C3F">
      <w:pPr>
        <w:tabs>
          <w:tab w:val="right" w:pos="9360"/>
        </w:tabs>
      </w:pPr>
    </w:p>
    <w:p w14:paraId="2A6E7A65" w14:textId="77777777" w:rsidR="008423E4" w:rsidRDefault="008423E4" w:rsidP="00B00C3F"/>
    <w:p w14:paraId="6B5A37AD" w14:textId="77777777" w:rsidR="008423E4" w:rsidRDefault="008423E4" w:rsidP="00B00C3F"/>
    <w:tbl>
      <w:tblPr>
        <w:tblW w:w="0" w:type="auto"/>
        <w:tblCellMar>
          <w:left w:w="115" w:type="dxa"/>
          <w:right w:w="115" w:type="dxa"/>
        </w:tblCellMar>
        <w:tblLook w:val="01E0" w:firstRow="1" w:lastRow="1" w:firstColumn="1" w:lastColumn="1" w:noHBand="0" w:noVBand="0"/>
      </w:tblPr>
      <w:tblGrid>
        <w:gridCol w:w="9360"/>
      </w:tblGrid>
      <w:tr w:rsidR="00DC0CB8" w14:paraId="29CF8C8B" w14:textId="77777777" w:rsidTr="00345119">
        <w:tc>
          <w:tcPr>
            <w:tcW w:w="9576" w:type="dxa"/>
          </w:tcPr>
          <w:p w14:paraId="7F16D085" w14:textId="77777777" w:rsidR="008423E4" w:rsidRPr="00A8133F" w:rsidRDefault="00875BEB" w:rsidP="00B00C3F">
            <w:pPr>
              <w:rPr>
                <w:b/>
              </w:rPr>
            </w:pPr>
            <w:r w:rsidRPr="009C1E9A">
              <w:rPr>
                <w:b/>
                <w:u w:val="single"/>
              </w:rPr>
              <w:t>BACKGROUND AND PURPOSE</w:t>
            </w:r>
            <w:r>
              <w:rPr>
                <w:b/>
              </w:rPr>
              <w:t xml:space="preserve"> </w:t>
            </w:r>
          </w:p>
          <w:p w14:paraId="294A7514" w14:textId="77777777" w:rsidR="008423E4" w:rsidRDefault="008423E4" w:rsidP="00B00C3F"/>
          <w:p w14:paraId="243F55E0" w14:textId="146DA9F7" w:rsidR="007E30E4" w:rsidRDefault="00875BEB" w:rsidP="00B00C3F">
            <w:pPr>
              <w:pStyle w:val="Header"/>
              <w:tabs>
                <w:tab w:val="clear" w:pos="4320"/>
                <w:tab w:val="clear" w:pos="8640"/>
              </w:tabs>
              <w:jc w:val="both"/>
            </w:pPr>
            <w:r>
              <w:t xml:space="preserve">The bill author has informed the committee that </w:t>
            </w:r>
            <w:r w:rsidR="00DF6C87">
              <w:t>firearm</w:t>
            </w:r>
            <w:r w:rsidR="00B177AB" w:rsidRPr="00B177AB">
              <w:t xml:space="preserve"> buyback programs have been implemented in various municipalities as an effort to reduce gun violence by allowing individuals to voluntarily surrender firearms, often in exchange for financial compensation or other incentives. </w:t>
            </w:r>
            <w:r w:rsidR="002C4A78">
              <w:t>The bill author has also informed the committee that s</w:t>
            </w:r>
            <w:r w:rsidR="00B177AB" w:rsidRPr="00B177AB">
              <w:t>upporters argue that these programs help remove unwanted firearms from circulation, potentially preventing crime, accidents, and suicides</w:t>
            </w:r>
            <w:r>
              <w:t>;</w:t>
            </w:r>
            <w:r w:rsidR="00B177AB" w:rsidRPr="00B177AB">
              <w:t xml:space="preserve"> </w:t>
            </w:r>
            <w:r>
              <w:t>h</w:t>
            </w:r>
            <w:r w:rsidR="00B177AB" w:rsidRPr="00B177AB">
              <w:t>owever, critics contend that such programs are largely ineffective in reducing crime rates, as the firearms turned in are often older or non-functional, and criminals are unlikely to participate. According to a 2023 study by the Cato Institute, data from 1991</w:t>
            </w:r>
            <w:r w:rsidR="00AC1DD7">
              <w:t xml:space="preserve"> to </w:t>
            </w:r>
            <w:r w:rsidR="00B177AB" w:rsidRPr="00B177AB">
              <w:t>2015</w:t>
            </w:r>
            <w:r w:rsidR="00DF6C87">
              <w:t xml:space="preserve"> </w:t>
            </w:r>
            <w:r>
              <w:t>showed</w:t>
            </w:r>
            <w:r w:rsidR="00B177AB" w:rsidRPr="00B177AB">
              <w:t xml:space="preserve"> no evidence that </w:t>
            </w:r>
            <w:r w:rsidR="00DF6C87">
              <w:t>firearm</w:t>
            </w:r>
            <w:r>
              <w:t xml:space="preserve"> buyback programs</w:t>
            </w:r>
            <w:r w:rsidRPr="00B177AB">
              <w:t xml:space="preserve"> </w:t>
            </w:r>
            <w:r w:rsidR="00B177AB" w:rsidRPr="00B177AB">
              <w:t xml:space="preserve">were effective at deterring gun crime in either </w:t>
            </w:r>
            <w:r>
              <w:t>the</w:t>
            </w:r>
            <w:r w:rsidRPr="00B177AB">
              <w:t xml:space="preserve"> </w:t>
            </w:r>
            <w:r w:rsidR="00B177AB" w:rsidRPr="00B177AB">
              <w:t xml:space="preserve">short or long </w:t>
            </w:r>
            <w:r w:rsidR="00DF6C87">
              <w:t>term</w:t>
            </w:r>
            <w:r w:rsidR="00B177AB" w:rsidRPr="00B177AB">
              <w:t xml:space="preserve">. The Rand Corporation determined in the same year </w:t>
            </w:r>
            <w:r w:rsidR="00916C90">
              <w:t>that</w:t>
            </w:r>
            <w:r w:rsidR="00916C90" w:rsidRPr="00B177AB">
              <w:t xml:space="preserve"> </w:t>
            </w:r>
            <w:r w:rsidR="00B177AB" w:rsidRPr="00B177AB">
              <w:t xml:space="preserve">evidence </w:t>
            </w:r>
            <w:r w:rsidR="00916C90">
              <w:t>for the</w:t>
            </w:r>
            <w:r w:rsidR="00B177AB" w:rsidRPr="00B177AB">
              <w:t xml:space="preserve"> effectiveness </w:t>
            </w:r>
            <w:r w:rsidR="00916C90">
              <w:t xml:space="preserve">of </w:t>
            </w:r>
            <w:r w:rsidR="002C4A78">
              <w:t>firearm</w:t>
            </w:r>
            <w:r w:rsidR="00916C90">
              <w:t xml:space="preserve"> buyback programs </w:t>
            </w:r>
            <w:r w:rsidR="00B177AB" w:rsidRPr="00B177AB">
              <w:t>is "thin</w:t>
            </w:r>
            <w:r w:rsidR="00916C90">
              <w:t>.</w:t>
            </w:r>
            <w:r w:rsidR="00B177AB" w:rsidRPr="00B177AB">
              <w:t xml:space="preserve">" </w:t>
            </w:r>
            <w:r w:rsidR="00DF6C87">
              <w:t>The</w:t>
            </w:r>
            <w:r w:rsidR="00B177AB" w:rsidRPr="00B177AB">
              <w:t xml:space="preserve"> Cato study further </w:t>
            </w:r>
            <w:r w:rsidR="00DF6C87">
              <w:t>found that</w:t>
            </w:r>
            <w:r w:rsidR="00DF6C87" w:rsidRPr="00B177AB">
              <w:t xml:space="preserve"> </w:t>
            </w:r>
            <w:r w:rsidR="00B177AB" w:rsidRPr="00B177AB">
              <w:t xml:space="preserve">a small increase in gun crimes occurred during the two months following a </w:t>
            </w:r>
            <w:r w:rsidR="002C4A78">
              <w:t>firearm</w:t>
            </w:r>
            <w:r w:rsidR="00DF6C87">
              <w:t xml:space="preserve"> buyback program, which</w:t>
            </w:r>
            <w:r w:rsidR="00B177AB" w:rsidRPr="00B177AB">
              <w:t xml:space="preserve"> would be consistent with </w:t>
            </w:r>
            <w:r w:rsidR="00DF6C87">
              <w:t>criminals</w:t>
            </w:r>
            <w:r w:rsidR="00DF6C87" w:rsidRPr="00B177AB">
              <w:t xml:space="preserve"> </w:t>
            </w:r>
            <w:r w:rsidR="00B177AB" w:rsidRPr="00B177AB">
              <w:t xml:space="preserve">understanding </w:t>
            </w:r>
            <w:r w:rsidR="00DF6C87">
              <w:t>that</w:t>
            </w:r>
            <w:r w:rsidR="00B177AB" w:rsidRPr="00B177AB">
              <w:t xml:space="preserve"> the area is less secure due to </w:t>
            </w:r>
            <w:r w:rsidR="00DF6C87">
              <w:t>the removal of</w:t>
            </w:r>
            <w:r w:rsidR="00B177AB" w:rsidRPr="00B177AB">
              <w:t xml:space="preserve"> firearms from law-abiding owners. H</w:t>
            </w:r>
            <w:r w:rsidR="00DF6C87">
              <w:t>.</w:t>
            </w:r>
            <w:r w:rsidR="00B177AB" w:rsidRPr="00B177AB">
              <w:t>B</w:t>
            </w:r>
            <w:r w:rsidR="00DF6C87">
              <w:t>.</w:t>
            </w:r>
            <w:r w:rsidR="00B177AB" w:rsidRPr="00B177AB">
              <w:t xml:space="preserve"> 3053 </w:t>
            </w:r>
            <w:r w:rsidR="00DF6C87">
              <w:t xml:space="preserve">seeks to address this issue and ensure </w:t>
            </w:r>
            <w:r w:rsidR="00DF6C87" w:rsidRPr="00B177AB">
              <w:t>a consistent statewide approach to firearm regulation</w:t>
            </w:r>
            <w:r w:rsidR="00DF6C87">
              <w:t xml:space="preserve"> by </w:t>
            </w:r>
            <w:r w:rsidR="00B177AB" w:rsidRPr="00B177AB">
              <w:t>prohibiting municipalities and counties from organizing, sponsoring, or participating in firearm buyback programs</w:t>
            </w:r>
            <w:r w:rsidR="002C4A78">
              <w:t>.</w:t>
            </w:r>
          </w:p>
          <w:p w14:paraId="784FD5F2" w14:textId="055EE337" w:rsidR="008423E4" w:rsidRPr="00E26B13" w:rsidRDefault="00875BEB" w:rsidP="00B00C3F">
            <w:pPr>
              <w:pStyle w:val="Header"/>
              <w:tabs>
                <w:tab w:val="clear" w:pos="4320"/>
                <w:tab w:val="clear" w:pos="8640"/>
              </w:tabs>
              <w:jc w:val="both"/>
              <w:rPr>
                <w:b/>
              </w:rPr>
            </w:pPr>
            <w:r w:rsidRPr="00B177AB">
              <w:t xml:space="preserve"> </w:t>
            </w:r>
          </w:p>
        </w:tc>
      </w:tr>
      <w:tr w:rsidR="00DC0CB8" w14:paraId="2BDBD7B5" w14:textId="77777777" w:rsidTr="00345119">
        <w:tc>
          <w:tcPr>
            <w:tcW w:w="9576" w:type="dxa"/>
          </w:tcPr>
          <w:p w14:paraId="1A4F6C11" w14:textId="77777777" w:rsidR="0017725B" w:rsidRDefault="00875BEB" w:rsidP="00B00C3F">
            <w:pPr>
              <w:rPr>
                <w:b/>
                <w:u w:val="single"/>
              </w:rPr>
            </w:pPr>
            <w:r>
              <w:rPr>
                <w:b/>
                <w:u w:val="single"/>
              </w:rPr>
              <w:t>CRIMINAL JUSTICE IMPACT</w:t>
            </w:r>
          </w:p>
          <w:p w14:paraId="73F18B29" w14:textId="77777777" w:rsidR="0017725B" w:rsidRDefault="0017725B" w:rsidP="00B00C3F">
            <w:pPr>
              <w:rPr>
                <w:b/>
                <w:u w:val="single"/>
              </w:rPr>
            </w:pPr>
          </w:p>
          <w:p w14:paraId="42E43FCA" w14:textId="496FF1BD" w:rsidR="001E7CC2" w:rsidRPr="001E7CC2" w:rsidRDefault="00875BEB" w:rsidP="00B00C3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6418D70" w14:textId="77777777" w:rsidR="0017725B" w:rsidRPr="0017725B" w:rsidRDefault="0017725B" w:rsidP="00B00C3F">
            <w:pPr>
              <w:rPr>
                <w:b/>
                <w:u w:val="single"/>
              </w:rPr>
            </w:pPr>
          </w:p>
        </w:tc>
      </w:tr>
      <w:tr w:rsidR="00DC0CB8" w14:paraId="7D8000C1" w14:textId="77777777" w:rsidTr="00345119">
        <w:tc>
          <w:tcPr>
            <w:tcW w:w="9576" w:type="dxa"/>
          </w:tcPr>
          <w:p w14:paraId="2BEF0250" w14:textId="77777777" w:rsidR="008423E4" w:rsidRPr="00A8133F" w:rsidRDefault="00875BEB" w:rsidP="00B00C3F">
            <w:pPr>
              <w:rPr>
                <w:b/>
              </w:rPr>
            </w:pPr>
            <w:r w:rsidRPr="009C1E9A">
              <w:rPr>
                <w:b/>
                <w:u w:val="single"/>
              </w:rPr>
              <w:t>RULEMAKING AUTHORITY</w:t>
            </w:r>
            <w:r>
              <w:rPr>
                <w:b/>
              </w:rPr>
              <w:t xml:space="preserve"> </w:t>
            </w:r>
          </w:p>
          <w:p w14:paraId="0B387C73" w14:textId="77777777" w:rsidR="008423E4" w:rsidRDefault="008423E4" w:rsidP="00B00C3F"/>
          <w:p w14:paraId="7BDBE262" w14:textId="3D88B25A" w:rsidR="001E7CC2" w:rsidRDefault="00875BEB" w:rsidP="00B00C3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E7AF117" w14:textId="77777777" w:rsidR="008423E4" w:rsidRPr="00E21FDC" w:rsidRDefault="008423E4" w:rsidP="00B00C3F">
            <w:pPr>
              <w:rPr>
                <w:b/>
              </w:rPr>
            </w:pPr>
          </w:p>
        </w:tc>
      </w:tr>
      <w:tr w:rsidR="00DC0CB8" w14:paraId="1F0BE678" w14:textId="77777777" w:rsidTr="00345119">
        <w:tc>
          <w:tcPr>
            <w:tcW w:w="9576" w:type="dxa"/>
          </w:tcPr>
          <w:p w14:paraId="32A9E0A1" w14:textId="77777777" w:rsidR="008423E4" w:rsidRPr="00A8133F" w:rsidRDefault="00875BEB" w:rsidP="00B00C3F">
            <w:pPr>
              <w:rPr>
                <w:b/>
              </w:rPr>
            </w:pPr>
            <w:r w:rsidRPr="009C1E9A">
              <w:rPr>
                <w:b/>
                <w:u w:val="single"/>
              </w:rPr>
              <w:t>ANALYSIS</w:t>
            </w:r>
            <w:r>
              <w:rPr>
                <w:b/>
              </w:rPr>
              <w:t xml:space="preserve"> </w:t>
            </w:r>
          </w:p>
          <w:p w14:paraId="3A1B4559" w14:textId="77777777" w:rsidR="008423E4" w:rsidRDefault="008423E4" w:rsidP="00B00C3F"/>
          <w:p w14:paraId="43403E66" w14:textId="4B89497C" w:rsidR="009C36CD" w:rsidRPr="009C36CD" w:rsidRDefault="00875BEB" w:rsidP="00B00C3F">
            <w:pPr>
              <w:pStyle w:val="Header"/>
              <w:jc w:val="both"/>
            </w:pPr>
            <w:r>
              <w:t>H.B. 3053 amends the Local Government Code to prohibit a municipality or county from adopting or enforcing an ordinance, order, or other measure in which the municipality or county organizes, sponsors, or participates in a program that purchases or offers to purchase firearms with the intent to remove firearms from circulation, reduce the number of firearms owned by civilians, or allow individuals to sell firearms without fear of criminal prosecution.</w:t>
            </w:r>
          </w:p>
          <w:p w14:paraId="12A6AB72" w14:textId="77777777" w:rsidR="008423E4" w:rsidRPr="00835628" w:rsidRDefault="008423E4" w:rsidP="00B00C3F">
            <w:pPr>
              <w:rPr>
                <w:b/>
              </w:rPr>
            </w:pPr>
          </w:p>
        </w:tc>
      </w:tr>
      <w:tr w:rsidR="00DC0CB8" w14:paraId="7B0E1BDB" w14:textId="77777777" w:rsidTr="00345119">
        <w:tc>
          <w:tcPr>
            <w:tcW w:w="9576" w:type="dxa"/>
          </w:tcPr>
          <w:p w14:paraId="269549F6" w14:textId="77777777" w:rsidR="008423E4" w:rsidRPr="00A8133F" w:rsidRDefault="00875BEB" w:rsidP="00B00C3F">
            <w:pPr>
              <w:rPr>
                <w:b/>
              </w:rPr>
            </w:pPr>
            <w:r w:rsidRPr="009C1E9A">
              <w:rPr>
                <w:b/>
                <w:u w:val="single"/>
              </w:rPr>
              <w:t>EFFECTIVE DATE</w:t>
            </w:r>
            <w:r>
              <w:rPr>
                <w:b/>
              </w:rPr>
              <w:t xml:space="preserve"> </w:t>
            </w:r>
          </w:p>
          <w:p w14:paraId="484316F7" w14:textId="77777777" w:rsidR="008423E4" w:rsidRDefault="008423E4" w:rsidP="00B00C3F"/>
          <w:p w14:paraId="50D4EF33" w14:textId="687FF09C" w:rsidR="008423E4" w:rsidRPr="003624F2" w:rsidRDefault="00875BEB" w:rsidP="00B00C3F">
            <w:pPr>
              <w:pStyle w:val="Header"/>
              <w:tabs>
                <w:tab w:val="clear" w:pos="4320"/>
                <w:tab w:val="clear" w:pos="8640"/>
              </w:tabs>
              <w:jc w:val="both"/>
            </w:pPr>
            <w:r>
              <w:t>On passage, or, if the bill does not receive the necessary vote, September 1, 2025.</w:t>
            </w:r>
          </w:p>
          <w:p w14:paraId="13E95FD5" w14:textId="77777777" w:rsidR="008423E4" w:rsidRPr="00233FDB" w:rsidRDefault="008423E4" w:rsidP="00B00C3F">
            <w:pPr>
              <w:rPr>
                <w:b/>
              </w:rPr>
            </w:pPr>
          </w:p>
        </w:tc>
      </w:tr>
    </w:tbl>
    <w:p w14:paraId="674FAA93" w14:textId="77777777" w:rsidR="008423E4" w:rsidRPr="00BE0E75" w:rsidRDefault="008423E4" w:rsidP="00B00C3F">
      <w:pPr>
        <w:jc w:val="both"/>
        <w:rPr>
          <w:rFonts w:ascii="Arial" w:hAnsi="Arial"/>
          <w:sz w:val="16"/>
          <w:szCs w:val="16"/>
        </w:rPr>
      </w:pPr>
    </w:p>
    <w:p w14:paraId="764FB9B8" w14:textId="77777777" w:rsidR="004108C3" w:rsidRPr="008423E4" w:rsidRDefault="004108C3" w:rsidP="00B00C3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90A9" w14:textId="77777777" w:rsidR="00875BEB" w:rsidRDefault="00875BEB">
      <w:r>
        <w:separator/>
      </w:r>
    </w:p>
  </w:endnote>
  <w:endnote w:type="continuationSeparator" w:id="0">
    <w:p w14:paraId="79A32BE2" w14:textId="77777777" w:rsidR="00875BEB" w:rsidRDefault="0087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F91A" w14:textId="77777777" w:rsidR="005B7974" w:rsidRDefault="005B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C0CB8" w14:paraId="36822DEB" w14:textId="77777777" w:rsidTr="009C1E9A">
      <w:trPr>
        <w:cantSplit/>
      </w:trPr>
      <w:tc>
        <w:tcPr>
          <w:tcW w:w="0" w:type="pct"/>
        </w:tcPr>
        <w:p w14:paraId="36F13F5C" w14:textId="77777777" w:rsidR="00137D90" w:rsidRDefault="00137D90" w:rsidP="009C1E9A">
          <w:pPr>
            <w:pStyle w:val="Footer"/>
            <w:tabs>
              <w:tab w:val="clear" w:pos="8640"/>
              <w:tab w:val="right" w:pos="9360"/>
            </w:tabs>
          </w:pPr>
        </w:p>
      </w:tc>
      <w:tc>
        <w:tcPr>
          <w:tcW w:w="2395" w:type="pct"/>
        </w:tcPr>
        <w:p w14:paraId="60188C41" w14:textId="77777777" w:rsidR="00137D90" w:rsidRDefault="00137D90" w:rsidP="009C1E9A">
          <w:pPr>
            <w:pStyle w:val="Footer"/>
            <w:tabs>
              <w:tab w:val="clear" w:pos="8640"/>
              <w:tab w:val="right" w:pos="9360"/>
            </w:tabs>
          </w:pPr>
        </w:p>
        <w:p w14:paraId="28C97FAB" w14:textId="77777777" w:rsidR="001A4310" w:rsidRDefault="001A4310" w:rsidP="009C1E9A">
          <w:pPr>
            <w:pStyle w:val="Footer"/>
            <w:tabs>
              <w:tab w:val="clear" w:pos="8640"/>
              <w:tab w:val="right" w:pos="9360"/>
            </w:tabs>
          </w:pPr>
        </w:p>
        <w:p w14:paraId="553385BB" w14:textId="77777777" w:rsidR="00137D90" w:rsidRDefault="00137D90" w:rsidP="009C1E9A">
          <w:pPr>
            <w:pStyle w:val="Footer"/>
            <w:tabs>
              <w:tab w:val="clear" w:pos="8640"/>
              <w:tab w:val="right" w:pos="9360"/>
            </w:tabs>
          </w:pPr>
        </w:p>
      </w:tc>
      <w:tc>
        <w:tcPr>
          <w:tcW w:w="2453" w:type="pct"/>
        </w:tcPr>
        <w:p w14:paraId="349E4322" w14:textId="77777777" w:rsidR="00137D90" w:rsidRDefault="00137D90" w:rsidP="009C1E9A">
          <w:pPr>
            <w:pStyle w:val="Footer"/>
            <w:tabs>
              <w:tab w:val="clear" w:pos="8640"/>
              <w:tab w:val="right" w:pos="9360"/>
            </w:tabs>
            <w:jc w:val="right"/>
          </w:pPr>
        </w:p>
      </w:tc>
    </w:tr>
    <w:tr w:rsidR="00DC0CB8" w14:paraId="76128C62" w14:textId="77777777" w:rsidTr="009C1E9A">
      <w:trPr>
        <w:cantSplit/>
      </w:trPr>
      <w:tc>
        <w:tcPr>
          <w:tcW w:w="0" w:type="pct"/>
        </w:tcPr>
        <w:p w14:paraId="3B285D8C" w14:textId="77777777" w:rsidR="00EC379B" w:rsidRDefault="00EC379B" w:rsidP="009C1E9A">
          <w:pPr>
            <w:pStyle w:val="Footer"/>
            <w:tabs>
              <w:tab w:val="clear" w:pos="8640"/>
              <w:tab w:val="right" w:pos="9360"/>
            </w:tabs>
          </w:pPr>
        </w:p>
      </w:tc>
      <w:tc>
        <w:tcPr>
          <w:tcW w:w="2395" w:type="pct"/>
        </w:tcPr>
        <w:p w14:paraId="1699A126" w14:textId="4CFB8413" w:rsidR="00EC379B" w:rsidRPr="009C1E9A" w:rsidRDefault="00875BEB" w:rsidP="009C1E9A">
          <w:pPr>
            <w:pStyle w:val="Footer"/>
            <w:tabs>
              <w:tab w:val="clear" w:pos="8640"/>
              <w:tab w:val="right" w:pos="9360"/>
            </w:tabs>
            <w:rPr>
              <w:rFonts w:ascii="Shruti" w:hAnsi="Shruti"/>
              <w:sz w:val="22"/>
            </w:rPr>
          </w:pPr>
          <w:r>
            <w:rPr>
              <w:rFonts w:ascii="Shruti" w:hAnsi="Shruti"/>
              <w:sz w:val="22"/>
            </w:rPr>
            <w:t>89R 27571-D</w:t>
          </w:r>
        </w:p>
      </w:tc>
      <w:tc>
        <w:tcPr>
          <w:tcW w:w="2453" w:type="pct"/>
        </w:tcPr>
        <w:p w14:paraId="1EC7E7C1" w14:textId="4E1E2A84" w:rsidR="00EC379B" w:rsidRDefault="00875BEB" w:rsidP="009C1E9A">
          <w:pPr>
            <w:pStyle w:val="Footer"/>
            <w:tabs>
              <w:tab w:val="clear" w:pos="8640"/>
              <w:tab w:val="right" w:pos="9360"/>
            </w:tabs>
            <w:jc w:val="right"/>
          </w:pPr>
          <w:r>
            <w:fldChar w:fldCharType="begin"/>
          </w:r>
          <w:r>
            <w:instrText xml:space="preserve"> DOCPROPERTY  OTID  \* MERGEFORMAT </w:instrText>
          </w:r>
          <w:r>
            <w:fldChar w:fldCharType="separate"/>
          </w:r>
          <w:r w:rsidR="00C10D5C">
            <w:t>25.121.2453</w:t>
          </w:r>
          <w:r>
            <w:fldChar w:fldCharType="end"/>
          </w:r>
        </w:p>
      </w:tc>
    </w:tr>
    <w:tr w:rsidR="00DC0CB8" w14:paraId="2423CCB3" w14:textId="77777777" w:rsidTr="009C1E9A">
      <w:trPr>
        <w:cantSplit/>
      </w:trPr>
      <w:tc>
        <w:tcPr>
          <w:tcW w:w="0" w:type="pct"/>
        </w:tcPr>
        <w:p w14:paraId="40A0916C" w14:textId="77777777" w:rsidR="00EC379B" w:rsidRDefault="00EC379B" w:rsidP="009C1E9A">
          <w:pPr>
            <w:pStyle w:val="Footer"/>
            <w:tabs>
              <w:tab w:val="clear" w:pos="4320"/>
              <w:tab w:val="clear" w:pos="8640"/>
              <w:tab w:val="left" w:pos="2865"/>
            </w:tabs>
          </w:pPr>
        </w:p>
      </w:tc>
      <w:tc>
        <w:tcPr>
          <w:tcW w:w="2395" w:type="pct"/>
        </w:tcPr>
        <w:p w14:paraId="6AF7C5F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E722D28" w14:textId="77777777" w:rsidR="00EC379B" w:rsidRDefault="00EC379B" w:rsidP="006D504F">
          <w:pPr>
            <w:pStyle w:val="Footer"/>
            <w:rPr>
              <w:rStyle w:val="PageNumber"/>
            </w:rPr>
          </w:pPr>
        </w:p>
        <w:p w14:paraId="3D3B39C3" w14:textId="77777777" w:rsidR="00EC379B" w:rsidRDefault="00EC379B" w:rsidP="009C1E9A">
          <w:pPr>
            <w:pStyle w:val="Footer"/>
            <w:tabs>
              <w:tab w:val="clear" w:pos="8640"/>
              <w:tab w:val="right" w:pos="9360"/>
            </w:tabs>
            <w:jc w:val="right"/>
          </w:pPr>
        </w:p>
      </w:tc>
    </w:tr>
    <w:tr w:rsidR="00DC0CB8" w14:paraId="18430F96" w14:textId="77777777" w:rsidTr="009C1E9A">
      <w:trPr>
        <w:cantSplit/>
        <w:trHeight w:val="323"/>
      </w:trPr>
      <w:tc>
        <w:tcPr>
          <w:tcW w:w="0" w:type="pct"/>
          <w:gridSpan w:val="3"/>
        </w:tcPr>
        <w:p w14:paraId="0C70C739" w14:textId="77777777" w:rsidR="00EC379B" w:rsidRDefault="00875BE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D97812A" w14:textId="77777777" w:rsidR="00EC379B" w:rsidRDefault="00EC379B" w:rsidP="009C1E9A">
          <w:pPr>
            <w:pStyle w:val="Footer"/>
            <w:tabs>
              <w:tab w:val="clear" w:pos="8640"/>
              <w:tab w:val="right" w:pos="9360"/>
            </w:tabs>
            <w:jc w:val="center"/>
          </w:pPr>
        </w:p>
      </w:tc>
    </w:tr>
  </w:tbl>
  <w:p w14:paraId="5FB9B37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6D52" w14:textId="77777777" w:rsidR="005B7974" w:rsidRDefault="005B7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AE91" w14:textId="77777777" w:rsidR="00875BEB" w:rsidRDefault="00875BEB">
      <w:r>
        <w:separator/>
      </w:r>
    </w:p>
  </w:footnote>
  <w:footnote w:type="continuationSeparator" w:id="0">
    <w:p w14:paraId="4444593B" w14:textId="77777777" w:rsidR="00875BEB" w:rsidRDefault="00875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F0CB" w14:textId="77777777" w:rsidR="005B7974" w:rsidRDefault="005B7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8AC7" w14:textId="77777777" w:rsidR="005B7974" w:rsidRDefault="005B7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1F4B" w14:textId="77777777" w:rsidR="005B7974" w:rsidRDefault="005B7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C2"/>
    <w:rsid w:val="00000A70"/>
    <w:rsid w:val="000032B8"/>
    <w:rsid w:val="00003B06"/>
    <w:rsid w:val="000054B9"/>
    <w:rsid w:val="00007461"/>
    <w:rsid w:val="0001117E"/>
    <w:rsid w:val="0001125F"/>
    <w:rsid w:val="000129E4"/>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3D4"/>
    <w:rsid w:val="00037088"/>
    <w:rsid w:val="000400D5"/>
    <w:rsid w:val="00043B84"/>
    <w:rsid w:val="0004512B"/>
    <w:rsid w:val="000463F0"/>
    <w:rsid w:val="00046BDA"/>
    <w:rsid w:val="0004762E"/>
    <w:rsid w:val="000532BD"/>
    <w:rsid w:val="000555E0"/>
    <w:rsid w:val="00055C12"/>
    <w:rsid w:val="000608B0"/>
    <w:rsid w:val="0006104C"/>
    <w:rsid w:val="00063CEA"/>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B736C"/>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7CC2"/>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938"/>
    <w:rsid w:val="002B5B42"/>
    <w:rsid w:val="002B7BA7"/>
    <w:rsid w:val="002C1C17"/>
    <w:rsid w:val="002C3203"/>
    <w:rsid w:val="002C3B07"/>
    <w:rsid w:val="002C4A78"/>
    <w:rsid w:val="002C532B"/>
    <w:rsid w:val="002C5713"/>
    <w:rsid w:val="002D05CC"/>
    <w:rsid w:val="002D305A"/>
    <w:rsid w:val="002E21B8"/>
    <w:rsid w:val="002E7DF9"/>
    <w:rsid w:val="002F097B"/>
    <w:rsid w:val="002F2147"/>
    <w:rsid w:val="002F2456"/>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5D3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763"/>
    <w:rsid w:val="003F76A2"/>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2428"/>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1234"/>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580B"/>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7974"/>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F36"/>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14F1"/>
    <w:rsid w:val="0070259C"/>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77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0E4"/>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7B7"/>
    <w:rsid w:val="008618E7"/>
    <w:rsid w:val="00861995"/>
    <w:rsid w:val="0086231A"/>
    <w:rsid w:val="0086477C"/>
    <w:rsid w:val="00864BAD"/>
    <w:rsid w:val="00866F9D"/>
    <w:rsid w:val="008673D9"/>
    <w:rsid w:val="00871775"/>
    <w:rsid w:val="00871AEF"/>
    <w:rsid w:val="008726E5"/>
    <w:rsid w:val="0087289E"/>
    <w:rsid w:val="00874C05"/>
    <w:rsid w:val="00875831"/>
    <w:rsid w:val="0087588B"/>
    <w:rsid w:val="00875BEB"/>
    <w:rsid w:val="0087680A"/>
    <w:rsid w:val="008806EB"/>
    <w:rsid w:val="008826F2"/>
    <w:rsid w:val="008845BA"/>
    <w:rsid w:val="00884AE3"/>
    <w:rsid w:val="00885203"/>
    <w:rsid w:val="008859CA"/>
    <w:rsid w:val="008861EE"/>
    <w:rsid w:val="00890B59"/>
    <w:rsid w:val="008930D7"/>
    <w:rsid w:val="008947A7"/>
    <w:rsid w:val="008960F9"/>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16D3"/>
    <w:rsid w:val="00915568"/>
    <w:rsid w:val="00916C90"/>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1A3B"/>
    <w:rsid w:val="009A39F5"/>
    <w:rsid w:val="009A4588"/>
    <w:rsid w:val="009A5EA5"/>
    <w:rsid w:val="009B00C2"/>
    <w:rsid w:val="009B26AB"/>
    <w:rsid w:val="009B3476"/>
    <w:rsid w:val="009B39BC"/>
    <w:rsid w:val="009B5069"/>
    <w:rsid w:val="009B69AD"/>
    <w:rsid w:val="009B7806"/>
    <w:rsid w:val="009C014E"/>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2EB"/>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EF5"/>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DD7"/>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0C3F"/>
    <w:rsid w:val="00B04E79"/>
    <w:rsid w:val="00B07488"/>
    <w:rsid w:val="00B075A2"/>
    <w:rsid w:val="00B10DD2"/>
    <w:rsid w:val="00B115DC"/>
    <w:rsid w:val="00B11952"/>
    <w:rsid w:val="00B149AC"/>
    <w:rsid w:val="00B14BD2"/>
    <w:rsid w:val="00B1557F"/>
    <w:rsid w:val="00B1668D"/>
    <w:rsid w:val="00B177AB"/>
    <w:rsid w:val="00B17981"/>
    <w:rsid w:val="00B20CAD"/>
    <w:rsid w:val="00B233BB"/>
    <w:rsid w:val="00B24F77"/>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75918"/>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CD4"/>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D5C"/>
    <w:rsid w:val="00C119AC"/>
    <w:rsid w:val="00C14841"/>
    <w:rsid w:val="00C14EE6"/>
    <w:rsid w:val="00C151DA"/>
    <w:rsid w:val="00C152A1"/>
    <w:rsid w:val="00C16CCB"/>
    <w:rsid w:val="00C2142B"/>
    <w:rsid w:val="00C22987"/>
    <w:rsid w:val="00C22BCD"/>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1D5"/>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CB8"/>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6C87"/>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80F"/>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52A"/>
    <w:rsid w:val="00E5003F"/>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399"/>
    <w:rsid w:val="00E87A99"/>
    <w:rsid w:val="00E90702"/>
    <w:rsid w:val="00E9241E"/>
    <w:rsid w:val="00E93A90"/>
    <w:rsid w:val="00E93DEF"/>
    <w:rsid w:val="00E947B1"/>
    <w:rsid w:val="00E96852"/>
    <w:rsid w:val="00EA16AC"/>
    <w:rsid w:val="00EA385A"/>
    <w:rsid w:val="00EA3931"/>
    <w:rsid w:val="00EA658E"/>
    <w:rsid w:val="00EA7A88"/>
    <w:rsid w:val="00EB0576"/>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0B31"/>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69D"/>
    <w:rsid w:val="00F11DAD"/>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0F6"/>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6D4B"/>
    <w:rsid w:val="00FC726C"/>
    <w:rsid w:val="00FD1B4B"/>
    <w:rsid w:val="00FD1B94"/>
    <w:rsid w:val="00FD5C0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85EA07-8F4D-4723-B3C5-F56A8ABD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7CC2"/>
    <w:rPr>
      <w:sz w:val="16"/>
      <w:szCs w:val="16"/>
    </w:rPr>
  </w:style>
  <w:style w:type="paragraph" w:styleId="CommentText">
    <w:name w:val="annotation text"/>
    <w:basedOn w:val="Normal"/>
    <w:link w:val="CommentTextChar"/>
    <w:unhideWhenUsed/>
    <w:rsid w:val="001E7CC2"/>
    <w:rPr>
      <w:sz w:val="20"/>
      <w:szCs w:val="20"/>
    </w:rPr>
  </w:style>
  <w:style w:type="character" w:customStyle="1" w:styleId="CommentTextChar">
    <w:name w:val="Comment Text Char"/>
    <w:basedOn w:val="DefaultParagraphFont"/>
    <w:link w:val="CommentText"/>
    <w:rsid w:val="001E7CC2"/>
  </w:style>
  <w:style w:type="paragraph" w:styleId="CommentSubject">
    <w:name w:val="annotation subject"/>
    <w:basedOn w:val="CommentText"/>
    <w:next w:val="CommentText"/>
    <w:link w:val="CommentSubjectChar"/>
    <w:semiHidden/>
    <w:unhideWhenUsed/>
    <w:rsid w:val="001E7CC2"/>
    <w:rPr>
      <w:b/>
      <w:bCs/>
    </w:rPr>
  </w:style>
  <w:style w:type="character" w:customStyle="1" w:styleId="CommentSubjectChar">
    <w:name w:val="Comment Subject Char"/>
    <w:basedOn w:val="CommentTextChar"/>
    <w:link w:val="CommentSubject"/>
    <w:semiHidden/>
    <w:rsid w:val="001E7CC2"/>
    <w:rPr>
      <w:b/>
      <w:bCs/>
    </w:rPr>
  </w:style>
  <w:style w:type="paragraph" w:styleId="Revision">
    <w:name w:val="Revision"/>
    <w:hidden/>
    <w:uiPriority w:val="99"/>
    <w:semiHidden/>
    <w:rsid w:val="00733773"/>
    <w:rPr>
      <w:sz w:val="24"/>
      <w:szCs w:val="24"/>
    </w:rPr>
  </w:style>
  <w:style w:type="character" w:styleId="Hyperlink">
    <w:name w:val="Hyperlink"/>
    <w:basedOn w:val="DefaultParagraphFont"/>
    <w:unhideWhenUsed/>
    <w:rsid w:val="00916C90"/>
    <w:rPr>
      <w:color w:val="0000FF" w:themeColor="hyperlink"/>
      <w:u w:val="single"/>
    </w:rPr>
  </w:style>
  <w:style w:type="character" w:customStyle="1" w:styleId="UnresolvedMention1">
    <w:name w:val="Unresolved Mention1"/>
    <w:basedOn w:val="DefaultParagraphFont"/>
    <w:uiPriority w:val="99"/>
    <w:semiHidden/>
    <w:unhideWhenUsed/>
    <w:rsid w:val="0091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 - HB03053 (Committee Report (Unamended))</vt:lpstr>
    </vt:vector>
  </TitlesOfParts>
  <Company>State of Texas</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27571</dc:subject>
  <dc:creator>State of Texas</dc:creator>
  <dc:description>HB 3053 by Virdell-(H)Homeland Security, Public Safety &amp; Veterans' Affairs</dc:description>
  <cp:lastModifiedBy>Thomas Weis</cp:lastModifiedBy>
  <cp:revision>2</cp:revision>
  <cp:lastPrinted>2003-11-26T17:21:00Z</cp:lastPrinted>
  <dcterms:created xsi:type="dcterms:W3CDTF">2025-05-05T19:57:00Z</dcterms:created>
  <dcterms:modified xsi:type="dcterms:W3CDTF">2025-05-05T19:57:00Z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25.121.2453</vt:lpwstr>
  </property>
</Properties>
</file>