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3208E" w14:paraId="2F793E4C" w14:textId="77777777" w:rsidTr="00345119">
        <w:tc>
          <w:tcPr>
            <w:tcW w:w="9576" w:type="dxa"/>
            <w:noWrap/>
          </w:tcPr>
          <w:p w14:paraId="59A52495" w14:textId="77777777" w:rsidR="008423E4" w:rsidRPr="0022177D" w:rsidRDefault="00B5390E" w:rsidP="004C7AA4">
            <w:pPr>
              <w:pStyle w:val="Heading1"/>
            </w:pPr>
            <w:r w:rsidRPr="00631897">
              <w:t>BILL ANALYSIS</w:t>
            </w:r>
          </w:p>
        </w:tc>
      </w:tr>
    </w:tbl>
    <w:p w14:paraId="5957BF1A" w14:textId="77777777" w:rsidR="008423E4" w:rsidRPr="0022177D" w:rsidRDefault="008423E4" w:rsidP="004C7AA4">
      <w:pPr>
        <w:jc w:val="center"/>
      </w:pPr>
    </w:p>
    <w:p w14:paraId="164B2BF4" w14:textId="77777777" w:rsidR="008423E4" w:rsidRPr="00B31F0E" w:rsidRDefault="008423E4" w:rsidP="004C7AA4"/>
    <w:p w14:paraId="5CE1EB82" w14:textId="77777777" w:rsidR="008423E4" w:rsidRPr="00742794" w:rsidRDefault="008423E4" w:rsidP="004C7AA4">
      <w:pPr>
        <w:tabs>
          <w:tab w:val="right" w:pos="9360"/>
        </w:tabs>
      </w:pPr>
    </w:p>
    <w:tbl>
      <w:tblPr>
        <w:tblW w:w="0" w:type="auto"/>
        <w:tblLayout w:type="fixed"/>
        <w:tblLook w:val="01E0" w:firstRow="1" w:lastRow="1" w:firstColumn="1" w:lastColumn="1" w:noHBand="0" w:noVBand="0"/>
      </w:tblPr>
      <w:tblGrid>
        <w:gridCol w:w="9576"/>
      </w:tblGrid>
      <w:tr w:rsidR="00B3208E" w14:paraId="500D592F" w14:textId="77777777" w:rsidTr="00345119">
        <w:tc>
          <w:tcPr>
            <w:tcW w:w="9576" w:type="dxa"/>
          </w:tcPr>
          <w:p w14:paraId="6214B916" w14:textId="6262611B" w:rsidR="008423E4" w:rsidRPr="00861995" w:rsidRDefault="00B5390E" w:rsidP="004C7AA4">
            <w:pPr>
              <w:jc w:val="right"/>
            </w:pPr>
            <w:r>
              <w:t>C.S.H.B. 3071</w:t>
            </w:r>
          </w:p>
        </w:tc>
      </w:tr>
      <w:tr w:rsidR="00B3208E" w14:paraId="003E0586" w14:textId="77777777" w:rsidTr="00345119">
        <w:tc>
          <w:tcPr>
            <w:tcW w:w="9576" w:type="dxa"/>
          </w:tcPr>
          <w:p w14:paraId="2B2331E6" w14:textId="1B77EA40" w:rsidR="008423E4" w:rsidRPr="00861995" w:rsidRDefault="00B5390E" w:rsidP="004C7AA4">
            <w:pPr>
              <w:jc w:val="right"/>
            </w:pPr>
            <w:r>
              <w:t xml:space="preserve">By: </w:t>
            </w:r>
            <w:r w:rsidR="000C6917">
              <w:t>Geren</w:t>
            </w:r>
          </w:p>
        </w:tc>
      </w:tr>
      <w:tr w:rsidR="00B3208E" w14:paraId="0614A77B" w14:textId="77777777" w:rsidTr="00345119">
        <w:tc>
          <w:tcPr>
            <w:tcW w:w="9576" w:type="dxa"/>
          </w:tcPr>
          <w:p w14:paraId="6666854C" w14:textId="73342A10" w:rsidR="008423E4" w:rsidRPr="00861995" w:rsidRDefault="00B5390E" w:rsidP="004C7AA4">
            <w:pPr>
              <w:jc w:val="right"/>
            </w:pPr>
            <w:r>
              <w:t>Environmental Regulation</w:t>
            </w:r>
          </w:p>
        </w:tc>
      </w:tr>
      <w:tr w:rsidR="00B3208E" w14:paraId="31F65AD2" w14:textId="77777777" w:rsidTr="00345119">
        <w:tc>
          <w:tcPr>
            <w:tcW w:w="9576" w:type="dxa"/>
          </w:tcPr>
          <w:p w14:paraId="6169C6A4" w14:textId="046D4277" w:rsidR="008423E4" w:rsidRDefault="00B5390E" w:rsidP="004C7AA4">
            <w:pPr>
              <w:jc w:val="right"/>
            </w:pPr>
            <w:r>
              <w:t>Committee Report (Substituted)</w:t>
            </w:r>
          </w:p>
        </w:tc>
      </w:tr>
    </w:tbl>
    <w:p w14:paraId="5306EA94" w14:textId="77777777" w:rsidR="008423E4" w:rsidRDefault="008423E4" w:rsidP="004C7AA4">
      <w:pPr>
        <w:tabs>
          <w:tab w:val="right" w:pos="9360"/>
        </w:tabs>
      </w:pPr>
    </w:p>
    <w:p w14:paraId="4B6203C3" w14:textId="77777777" w:rsidR="008423E4" w:rsidRDefault="008423E4" w:rsidP="004C7AA4"/>
    <w:p w14:paraId="0A371B12" w14:textId="77777777" w:rsidR="008423E4" w:rsidRDefault="008423E4" w:rsidP="004C7AA4"/>
    <w:tbl>
      <w:tblPr>
        <w:tblW w:w="0" w:type="auto"/>
        <w:tblCellMar>
          <w:left w:w="115" w:type="dxa"/>
          <w:right w:w="115" w:type="dxa"/>
        </w:tblCellMar>
        <w:tblLook w:val="01E0" w:firstRow="1" w:lastRow="1" w:firstColumn="1" w:lastColumn="1" w:noHBand="0" w:noVBand="0"/>
      </w:tblPr>
      <w:tblGrid>
        <w:gridCol w:w="9360"/>
      </w:tblGrid>
      <w:tr w:rsidR="00B3208E" w14:paraId="0DF5301F" w14:textId="77777777" w:rsidTr="004C7AA4">
        <w:tc>
          <w:tcPr>
            <w:tcW w:w="9360" w:type="dxa"/>
          </w:tcPr>
          <w:p w14:paraId="7F164319" w14:textId="77777777" w:rsidR="008423E4" w:rsidRPr="00A8133F" w:rsidRDefault="00B5390E" w:rsidP="004C7AA4">
            <w:pPr>
              <w:rPr>
                <w:b/>
              </w:rPr>
            </w:pPr>
            <w:r w:rsidRPr="009C1E9A">
              <w:rPr>
                <w:b/>
                <w:u w:val="single"/>
              </w:rPr>
              <w:t>BACKGROUND AND PURPOSE</w:t>
            </w:r>
            <w:r>
              <w:rPr>
                <w:b/>
              </w:rPr>
              <w:t xml:space="preserve"> </w:t>
            </w:r>
          </w:p>
          <w:p w14:paraId="141913D1" w14:textId="77777777" w:rsidR="008423E4" w:rsidRDefault="008423E4" w:rsidP="004C7AA4"/>
          <w:p w14:paraId="2119E49C" w14:textId="3DC5865B" w:rsidR="008423E4" w:rsidRDefault="00B5390E" w:rsidP="004C7AA4">
            <w:pPr>
              <w:pStyle w:val="Header"/>
              <w:tabs>
                <w:tab w:val="clear" w:pos="4320"/>
                <w:tab w:val="clear" w:pos="8640"/>
              </w:tabs>
              <w:jc w:val="both"/>
            </w:pPr>
            <w:r>
              <w:t xml:space="preserve">Permits issued by the Texas Commission on Environmental Quality (TCEQ) may become inactive over time, according to media reports; because of the lack of permitted activity, individuals </w:t>
            </w:r>
            <w:r w:rsidR="006E64DF">
              <w:t xml:space="preserve">or </w:t>
            </w:r>
            <w:r>
              <w:t xml:space="preserve">entities may purchase nearby property for residential purposes, and local governments such as public school districts may purchase nearby property for public purposes. </w:t>
            </w:r>
            <w:r w:rsidR="000C6917">
              <w:t xml:space="preserve">The bill author has informed the committee </w:t>
            </w:r>
            <w:r>
              <w:t>of a recent instance where</w:t>
            </w:r>
            <w:r w:rsidR="000C6917">
              <w:t xml:space="preserve"> an application was submitted to</w:t>
            </w:r>
            <w:r w:rsidR="007659A5">
              <w:t xml:space="preserve"> the</w:t>
            </w:r>
            <w:r w:rsidR="000C6917">
              <w:t xml:space="preserve"> TCEQ for a municipal solid waste processing facility on a property that received a waste management facility permit from the state over 40 years ago</w:t>
            </w:r>
            <w:r w:rsidR="00C6015D">
              <w:t xml:space="preserve">, </w:t>
            </w:r>
            <w:r w:rsidR="000C6917">
              <w:t>that the landfill permit became inactive</w:t>
            </w:r>
            <w:r w:rsidR="00C6015D">
              <w:t>,</w:t>
            </w:r>
            <w:r w:rsidR="000C6917">
              <w:t xml:space="preserve"> and that the applicant's proposal would have reactivated the permit in order to establish a six-acre recycling center. The bill author has further informed the committee that, if the application had been approved by state officials, the applicant would have built the recycling center to accept up to 450 tons of construction and demolition waste per day, including metals, woods, lumber, green waste, plastics, and concrete, but that, in the two decades since the site's landfill permit was active, the surrounding area has developed with a much larger residential presence that has expressed concerns regarding their environment, health, safety, and quality of life. C.S.H.B. 3071 seeks to address this issue by </w:t>
            </w:r>
            <w:r w:rsidR="000C6917" w:rsidRPr="00AD4118">
              <w:t>requir</w:t>
            </w:r>
            <w:r w:rsidR="000C6917">
              <w:t>ing</w:t>
            </w:r>
            <w:r w:rsidR="000C6917" w:rsidRPr="00AD4118">
              <w:t xml:space="preserve"> the TCEQ to cancel a permit issued for a municipal solid waste landfill facility</w:t>
            </w:r>
            <w:r w:rsidR="000C6917">
              <w:t xml:space="preserve"> under certain conditions.</w:t>
            </w:r>
          </w:p>
          <w:p w14:paraId="79640A89" w14:textId="77777777" w:rsidR="008423E4" w:rsidRPr="00E26B13" w:rsidRDefault="008423E4" w:rsidP="004C7AA4">
            <w:pPr>
              <w:rPr>
                <w:b/>
              </w:rPr>
            </w:pPr>
          </w:p>
        </w:tc>
      </w:tr>
      <w:tr w:rsidR="00B3208E" w14:paraId="4BC6F239" w14:textId="77777777" w:rsidTr="004C7AA4">
        <w:tc>
          <w:tcPr>
            <w:tcW w:w="9360" w:type="dxa"/>
          </w:tcPr>
          <w:p w14:paraId="1243BC9A" w14:textId="77777777" w:rsidR="0017725B" w:rsidRDefault="00B5390E" w:rsidP="004C7AA4">
            <w:pPr>
              <w:rPr>
                <w:b/>
                <w:u w:val="single"/>
              </w:rPr>
            </w:pPr>
            <w:r>
              <w:rPr>
                <w:b/>
                <w:u w:val="single"/>
              </w:rPr>
              <w:t>CRIMINAL JUSTICE IMPACT</w:t>
            </w:r>
          </w:p>
          <w:p w14:paraId="4BA72148" w14:textId="77777777" w:rsidR="0017725B" w:rsidRDefault="0017725B" w:rsidP="004C7AA4">
            <w:pPr>
              <w:rPr>
                <w:b/>
                <w:u w:val="single"/>
              </w:rPr>
            </w:pPr>
          </w:p>
          <w:p w14:paraId="0EE49EBA" w14:textId="77777777" w:rsidR="0017725B" w:rsidRDefault="00B5390E" w:rsidP="004C7AA4">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FD00E71" w14:textId="6017A74F" w:rsidR="000C6917" w:rsidRPr="0017725B" w:rsidRDefault="000C6917" w:rsidP="004C7AA4">
            <w:pPr>
              <w:rPr>
                <w:b/>
                <w:u w:val="single"/>
              </w:rPr>
            </w:pPr>
          </w:p>
        </w:tc>
      </w:tr>
      <w:tr w:rsidR="00B3208E" w14:paraId="6A2F2BF1" w14:textId="77777777" w:rsidTr="004C7AA4">
        <w:tc>
          <w:tcPr>
            <w:tcW w:w="9360" w:type="dxa"/>
          </w:tcPr>
          <w:p w14:paraId="2A474123" w14:textId="77777777" w:rsidR="008423E4" w:rsidRPr="00A8133F" w:rsidRDefault="00B5390E" w:rsidP="004C7AA4">
            <w:pPr>
              <w:rPr>
                <w:b/>
              </w:rPr>
            </w:pPr>
            <w:r w:rsidRPr="009C1E9A">
              <w:rPr>
                <w:b/>
                <w:u w:val="single"/>
              </w:rPr>
              <w:t>RULEMAKING AUTHORITY</w:t>
            </w:r>
            <w:r>
              <w:rPr>
                <w:b/>
              </w:rPr>
              <w:t xml:space="preserve"> </w:t>
            </w:r>
          </w:p>
          <w:p w14:paraId="0A9A99AF" w14:textId="77777777" w:rsidR="008423E4" w:rsidRDefault="008423E4" w:rsidP="004C7AA4"/>
          <w:p w14:paraId="68068A5D" w14:textId="5211AB16" w:rsidR="008423E4" w:rsidRDefault="00B5390E" w:rsidP="004C7AA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DF7100A" w14:textId="77777777" w:rsidR="008423E4" w:rsidRPr="00E21FDC" w:rsidRDefault="008423E4" w:rsidP="004C7AA4">
            <w:pPr>
              <w:rPr>
                <w:b/>
              </w:rPr>
            </w:pPr>
          </w:p>
        </w:tc>
      </w:tr>
      <w:tr w:rsidR="00B3208E" w14:paraId="0BE6D5F1" w14:textId="77777777" w:rsidTr="004C7AA4">
        <w:tc>
          <w:tcPr>
            <w:tcW w:w="9360" w:type="dxa"/>
          </w:tcPr>
          <w:p w14:paraId="2EB5B45D" w14:textId="77777777" w:rsidR="008423E4" w:rsidRPr="00A8133F" w:rsidRDefault="00B5390E" w:rsidP="004C7AA4">
            <w:pPr>
              <w:rPr>
                <w:b/>
              </w:rPr>
            </w:pPr>
            <w:r w:rsidRPr="009C1E9A">
              <w:rPr>
                <w:b/>
                <w:u w:val="single"/>
              </w:rPr>
              <w:t>ANALYSIS</w:t>
            </w:r>
            <w:r>
              <w:rPr>
                <w:b/>
              </w:rPr>
              <w:t xml:space="preserve"> </w:t>
            </w:r>
          </w:p>
          <w:p w14:paraId="0BD51846" w14:textId="77777777" w:rsidR="008423E4" w:rsidRDefault="008423E4" w:rsidP="004C7AA4"/>
          <w:p w14:paraId="329BC456" w14:textId="77777777" w:rsidR="000C6917" w:rsidRDefault="00B5390E" w:rsidP="004C7AA4">
            <w:pPr>
              <w:pStyle w:val="Header"/>
              <w:tabs>
                <w:tab w:val="clear" w:pos="4320"/>
                <w:tab w:val="clear" w:pos="8640"/>
              </w:tabs>
              <w:jc w:val="both"/>
            </w:pPr>
            <w:r>
              <w:t xml:space="preserve">C.S.H.B. 3071 amends the </w:t>
            </w:r>
            <w:r w:rsidRPr="00957A3B">
              <w:t>Health and Safety Code</w:t>
            </w:r>
            <w:r>
              <w:t xml:space="preserve"> to require the </w:t>
            </w:r>
            <w:r w:rsidRPr="00957A3B">
              <w:t>Texas Commission on Environmental Quality (</w:t>
            </w:r>
            <w:r w:rsidRPr="00894871">
              <w:t>TCEQ</w:t>
            </w:r>
            <w:r w:rsidRPr="00957A3B">
              <w:t>)</w:t>
            </w:r>
            <w:r>
              <w:t xml:space="preserve"> to cancel a permit issued for a municipal solid waste landfill facility if:</w:t>
            </w:r>
          </w:p>
          <w:p w14:paraId="1CC7EF23" w14:textId="77777777" w:rsidR="000C6917" w:rsidRDefault="00B5390E" w:rsidP="004C7AA4">
            <w:pPr>
              <w:pStyle w:val="Header"/>
              <w:numPr>
                <w:ilvl w:val="0"/>
                <w:numId w:val="1"/>
              </w:numPr>
              <w:jc w:val="both"/>
            </w:pPr>
            <w:r>
              <w:t>the facility is located in:</w:t>
            </w:r>
          </w:p>
          <w:p w14:paraId="3D2DC7AA" w14:textId="77777777" w:rsidR="000C6917" w:rsidRDefault="00B5390E" w:rsidP="004C7AA4">
            <w:pPr>
              <w:pStyle w:val="Header"/>
              <w:numPr>
                <w:ilvl w:val="1"/>
                <w:numId w:val="1"/>
              </w:numPr>
              <w:jc w:val="both"/>
            </w:pPr>
            <w:r>
              <w:t>a county with a population of more than 2.1 million; and</w:t>
            </w:r>
          </w:p>
          <w:p w14:paraId="20519635" w14:textId="77777777" w:rsidR="000C6917" w:rsidRDefault="00B5390E" w:rsidP="004C7AA4">
            <w:pPr>
              <w:pStyle w:val="Header"/>
              <w:numPr>
                <w:ilvl w:val="1"/>
                <w:numId w:val="1"/>
              </w:numPr>
              <w:tabs>
                <w:tab w:val="clear" w:pos="4320"/>
                <w:tab w:val="clear" w:pos="8640"/>
              </w:tabs>
              <w:jc w:val="both"/>
            </w:pPr>
            <w:r>
              <w:t xml:space="preserve">the </w:t>
            </w:r>
            <w:r>
              <w:t>extraterritorial jurisdiction of the county's principal municipality with a population of more than 900,000;</w:t>
            </w:r>
          </w:p>
          <w:p w14:paraId="74FC33BC" w14:textId="77777777" w:rsidR="000C6917" w:rsidRDefault="00B5390E" w:rsidP="004C7AA4">
            <w:pPr>
              <w:pStyle w:val="Header"/>
              <w:numPr>
                <w:ilvl w:val="0"/>
                <w:numId w:val="1"/>
              </w:numPr>
              <w:tabs>
                <w:tab w:val="clear" w:pos="4320"/>
                <w:tab w:val="clear" w:pos="8640"/>
              </w:tabs>
              <w:jc w:val="both"/>
            </w:pPr>
            <w:r>
              <w:t xml:space="preserve">the facility has not accepted waste for a period of 25 consecutive years; and </w:t>
            </w:r>
          </w:p>
          <w:p w14:paraId="0A59B441" w14:textId="77777777" w:rsidR="000C6917" w:rsidRDefault="00B5390E" w:rsidP="004C7AA4">
            <w:pPr>
              <w:pStyle w:val="Header"/>
              <w:numPr>
                <w:ilvl w:val="0"/>
                <w:numId w:val="1"/>
              </w:numPr>
              <w:tabs>
                <w:tab w:val="clear" w:pos="4320"/>
                <w:tab w:val="clear" w:pos="8640"/>
              </w:tabs>
              <w:jc w:val="both"/>
            </w:pPr>
            <w:r w:rsidRPr="00957A3B">
              <w:t xml:space="preserve"> if</w:t>
            </w:r>
            <w:r>
              <w:t xml:space="preserve"> the permit was issued to the owner of the facility, the person </w:t>
            </w:r>
            <w:r w:rsidRPr="00894871">
              <w:t>to whom the permit was issued</w:t>
            </w:r>
            <w:r>
              <w:t xml:space="preserve"> no longer owns the facility. </w:t>
            </w:r>
          </w:p>
          <w:p w14:paraId="0910E9A9" w14:textId="2E64C5F4" w:rsidR="009C36CD" w:rsidRPr="009C36CD" w:rsidRDefault="00B5390E" w:rsidP="004C7AA4">
            <w:pPr>
              <w:pStyle w:val="Header"/>
              <w:tabs>
                <w:tab w:val="clear" w:pos="4320"/>
                <w:tab w:val="clear" w:pos="8640"/>
              </w:tabs>
              <w:jc w:val="both"/>
            </w:pPr>
            <w:r w:rsidRPr="004F2B6B">
              <w:t>The bill prohibits the TCEQ, if it cancels a permit under the bill's provisions, from approving a subsequent permit application for a municipal solid waste landfill facility that was the subject of the cancelled permit.</w:t>
            </w:r>
            <w:r>
              <w:t xml:space="preserve"> A certain provision, as added by the bill, </w:t>
            </w:r>
            <w:r w:rsidRPr="004F2B6B">
              <w:t>applies only to the transfer of ownership of a municipal solid waste facility that occurs on or after the bill's effective date. A transfer of ownership that occurred before the bill's effective date is governed by the law as it existed immediately before the bill's effective date, and that law is continued in effect for that purpose.</w:t>
            </w:r>
          </w:p>
          <w:p w14:paraId="68E09CA8" w14:textId="77777777" w:rsidR="008423E4" w:rsidRPr="00835628" w:rsidRDefault="008423E4" w:rsidP="004C7AA4">
            <w:pPr>
              <w:rPr>
                <w:b/>
              </w:rPr>
            </w:pPr>
          </w:p>
        </w:tc>
      </w:tr>
      <w:tr w:rsidR="00B3208E" w14:paraId="5ACFA1AB" w14:textId="77777777" w:rsidTr="004C7AA4">
        <w:tc>
          <w:tcPr>
            <w:tcW w:w="9360" w:type="dxa"/>
          </w:tcPr>
          <w:p w14:paraId="31AA2A29" w14:textId="77777777" w:rsidR="008423E4" w:rsidRPr="00A8133F" w:rsidRDefault="00B5390E" w:rsidP="004C7AA4">
            <w:pPr>
              <w:rPr>
                <w:b/>
              </w:rPr>
            </w:pPr>
            <w:r w:rsidRPr="009C1E9A">
              <w:rPr>
                <w:b/>
                <w:u w:val="single"/>
              </w:rPr>
              <w:t>EFFECTIVE DATE</w:t>
            </w:r>
            <w:r>
              <w:rPr>
                <w:b/>
              </w:rPr>
              <w:t xml:space="preserve"> </w:t>
            </w:r>
          </w:p>
          <w:p w14:paraId="682035CB" w14:textId="77777777" w:rsidR="008423E4" w:rsidRDefault="008423E4" w:rsidP="004C7AA4"/>
          <w:p w14:paraId="36BC90DA" w14:textId="41519358" w:rsidR="008423E4" w:rsidRPr="003624F2" w:rsidRDefault="00B5390E" w:rsidP="004C7AA4">
            <w:pPr>
              <w:pStyle w:val="Header"/>
              <w:tabs>
                <w:tab w:val="clear" w:pos="4320"/>
                <w:tab w:val="clear" w:pos="8640"/>
              </w:tabs>
              <w:jc w:val="both"/>
            </w:pPr>
            <w:r>
              <w:t>September 1, 2025.</w:t>
            </w:r>
          </w:p>
          <w:p w14:paraId="7B0DC871" w14:textId="77777777" w:rsidR="008423E4" w:rsidRPr="00233FDB" w:rsidRDefault="008423E4" w:rsidP="004C7AA4">
            <w:pPr>
              <w:rPr>
                <w:b/>
              </w:rPr>
            </w:pPr>
          </w:p>
        </w:tc>
      </w:tr>
      <w:tr w:rsidR="00B3208E" w14:paraId="4C2A0A06" w14:textId="77777777" w:rsidTr="004C7AA4">
        <w:tc>
          <w:tcPr>
            <w:tcW w:w="9360" w:type="dxa"/>
          </w:tcPr>
          <w:p w14:paraId="4C740F33" w14:textId="77777777" w:rsidR="000C6917" w:rsidRDefault="00B5390E" w:rsidP="004C7AA4">
            <w:pPr>
              <w:jc w:val="both"/>
              <w:rPr>
                <w:b/>
                <w:u w:val="single"/>
              </w:rPr>
            </w:pPr>
            <w:r>
              <w:rPr>
                <w:b/>
                <w:u w:val="single"/>
              </w:rPr>
              <w:t>COMPARISON OF INTRODUCED AND SUBSTITUTE</w:t>
            </w:r>
          </w:p>
          <w:p w14:paraId="74D13D3C" w14:textId="77777777" w:rsidR="000C6917" w:rsidRDefault="000C6917" w:rsidP="004C7AA4">
            <w:pPr>
              <w:jc w:val="both"/>
              <w:rPr>
                <w:b/>
                <w:u w:val="single"/>
              </w:rPr>
            </w:pPr>
          </w:p>
          <w:p w14:paraId="1A272E1F" w14:textId="77777777" w:rsidR="000C6917" w:rsidRDefault="00B5390E" w:rsidP="004C7AA4">
            <w:pPr>
              <w:jc w:val="both"/>
            </w:pPr>
            <w:r>
              <w:t xml:space="preserve">While C.S.H.B. 3071 may </w:t>
            </w:r>
            <w:r>
              <w:t>differ from the introduced in minor or nonsubstantive ways, the following summarizes the substantial differences between the introduced and committee substitute versions of the bill.</w:t>
            </w:r>
          </w:p>
          <w:p w14:paraId="6C211089" w14:textId="77777777" w:rsidR="000C6917" w:rsidRDefault="000C6917" w:rsidP="004C7AA4">
            <w:pPr>
              <w:jc w:val="both"/>
            </w:pPr>
          </w:p>
          <w:p w14:paraId="4B84373A" w14:textId="77777777" w:rsidR="000C6917" w:rsidRDefault="00B5390E" w:rsidP="004C7AA4">
            <w:pPr>
              <w:jc w:val="both"/>
            </w:pPr>
            <w:r>
              <w:t>The substitute narrows the applicability of the introduced version's provisions to a facility that is located in:</w:t>
            </w:r>
          </w:p>
          <w:p w14:paraId="2A4795CC" w14:textId="77777777" w:rsidR="000C6917" w:rsidRDefault="00B5390E" w:rsidP="004C7AA4">
            <w:pPr>
              <w:pStyle w:val="ListParagraph"/>
              <w:numPr>
                <w:ilvl w:val="0"/>
                <w:numId w:val="2"/>
              </w:numPr>
              <w:contextualSpacing w:val="0"/>
              <w:jc w:val="both"/>
            </w:pPr>
            <w:r>
              <w:t>a county with a population of more than 2.1 million; and</w:t>
            </w:r>
          </w:p>
          <w:p w14:paraId="174A71E7" w14:textId="77777777" w:rsidR="000C6917" w:rsidRDefault="00B5390E" w:rsidP="004C7AA4">
            <w:pPr>
              <w:pStyle w:val="ListParagraph"/>
              <w:numPr>
                <w:ilvl w:val="0"/>
                <w:numId w:val="2"/>
              </w:numPr>
              <w:contextualSpacing w:val="0"/>
              <w:jc w:val="both"/>
            </w:pPr>
            <w:r>
              <w:t>the extraterritorial jurisdiction of the county's principal municipality with a population of more than 900,000.</w:t>
            </w:r>
          </w:p>
          <w:p w14:paraId="1E0066A3" w14:textId="77777777" w:rsidR="000C6917" w:rsidRDefault="000C6917" w:rsidP="004C7AA4">
            <w:pPr>
              <w:jc w:val="both"/>
            </w:pPr>
          </w:p>
          <w:p w14:paraId="106E4C24" w14:textId="77777777" w:rsidR="000C6917" w:rsidRDefault="00B5390E" w:rsidP="004C7AA4">
            <w:pPr>
              <w:jc w:val="both"/>
            </w:pPr>
            <w:r>
              <w:t>Whereas the substitute requires the TCEQ to cancel a permit issued for a municipal solid waste landfill facility only if both of the following conditions are satisfied, the introduced required the TCEQ to do so under satisfaction of either of these conditions:</w:t>
            </w:r>
          </w:p>
          <w:p w14:paraId="726BBB25" w14:textId="77777777" w:rsidR="000C6917" w:rsidRDefault="00B5390E" w:rsidP="004C7AA4">
            <w:pPr>
              <w:pStyle w:val="ListParagraph"/>
              <w:numPr>
                <w:ilvl w:val="0"/>
                <w:numId w:val="3"/>
              </w:numPr>
              <w:contextualSpacing w:val="0"/>
              <w:jc w:val="both"/>
            </w:pPr>
            <w:r>
              <w:t>the facility has not accepted waste for a period of 25 consecutive years; or</w:t>
            </w:r>
          </w:p>
          <w:p w14:paraId="29F771E1" w14:textId="77777777" w:rsidR="000C6917" w:rsidRDefault="00B5390E" w:rsidP="004C7AA4">
            <w:pPr>
              <w:pStyle w:val="ListParagraph"/>
              <w:numPr>
                <w:ilvl w:val="0"/>
                <w:numId w:val="3"/>
              </w:numPr>
              <w:contextualSpacing w:val="0"/>
              <w:jc w:val="both"/>
            </w:pPr>
            <w:r>
              <w:t>if the permit was issued to the owner of the facility, the person to whom the permit was issued no longer owns the facility.</w:t>
            </w:r>
          </w:p>
          <w:p w14:paraId="14D88CE6" w14:textId="77777777" w:rsidR="000C6917" w:rsidRDefault="000C6917" w:rsidP="004C7AA4">
            <w:pPr>
              <w:jc w:val="both"/>
            </w:pPr>
          </w:p>
          <w:p w14:paraId="52A203F5" w14:textId="77777777" w:rsidR="000C6917" w:rsidRDefault="00B5390E" w:rsidP="004C7AA4">
            <w:pPr>
              <w:jc w:val="both"/>
            </w:pPr>
            <w:r>
              <w:t>The substitute includes a prohibition that was not in the introduced against the TCEQ, i</w:t>
            </w:r>
            <w:r w:rsidRPr="008D1B7C">
              <w:t xml:space="preserve">f </w:t>
            </w:r>
            <w:r>
              <w:t>it</w:t>
            </w:r>
            <w:r w:rsidRPr="008D1B7C">
              <w:t xml:space="preserve"> cancels a permit under </w:t>
            </w:r>
            <w:r>
              <w:t>the bill's provisions</w:t>
            </w:r>
            <w:r w:rsidRPr="008D1B7C">
              <w:t>, approv</w:t>
            </w:r>
            <w:r>
              <w:t>ing</w:t>
            </w:r>
            <w:r w:rsidRPr="008D1B7C">
              <w:t xml:space="preserve"> a subsequent permit application for a municipal solid waste landfill facility that was the subject of the cancelled permit.</w:t>
            </w:r>
          </w:p>
          <w:p w14:paraId="2C7EB4E2" w14:textId="77777777" w:rsidR="000C6917" w:rsidRDefault="000C6917" w:rsidP="004C7AA4">
            <w:pPr>
              <w:jc w:val="both"/>
            </w:pPr>
          </w:p>
          <w:p w14:paraId="3EE7F658" w14:textId="77777777" w:rsidR="000C6917" w:rsidRDefault="00B5390E" w:rsidP="004C7AA4">
            <w:pPr>
              <w:jc w:val="both"/>
            </w:pPr>
            <w:r>
              <w:t>Whereas the introduced established that the cancellation of a permit issued for a municipal solid waste landfill facility with respect to an applicable change of ownership applies only to the transfer of ownership of a municipal solid waste facility that occurs on or after the bill's effective date, the substitute establishes that a certain provision, as added by the bill, applies only to the transfer of ownership of a municipal solid waste facility that occurs on or after the bill's effective date.</w:t>
            </w:r>
          </w:p>
          <w:p w14:paraId="6FB6A021" w14:textId="13EE04A4" w:rsidR="005F3E6F" w:rsidRPr="000C6917" w:rsidRDefault="005F3E6F" w:rsidP="004C7AA4">
            <w:pPr>
              <w:jc w:val="both"/>
              <w:rPr>
                <w:b/>
                <w:u w:val="single"/>
              </w:rPr>
            </w:pPr>
          </w:p>
        </w:tc>
      </w:tr>
    </w:tbl>
    <w:p w14:paraId="6A79F875" w14:textId="77777777" w:rsidR="008423E4" w:rsidRPr="00BE0E75" w:rsidRDefault="008423E4" w:rsidP="004C7AA4">
      <w:pPr>
        <w:jc w:val="both"/>
        <w:rPr>
          <w:rFonts w:ascii="Arial" w:hAnsi="Arial"/>
          <w:sz w:val="16"/>
          <w:szCs w:val="16"/>
        </w:rPr>
      </w:pPr>
    </w:p>
    <w:p w14:paraId="643D8A73" w14:textId="77777777" w:rsidR="004108C3" w:rsidRPr="008423E4" w:rsidRDefault="004108C3" w:rsidP="004C7AA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5464" w14:textId="77777777" w:rsidR="00B5390E" w:rsidRDefault="00B5390E">
      <w:r>
        <w:separator/>
      </w:r>
    </w:p>
  </w:endnote>
  <w:endnote w:type="continuationSeparator" w:id="0">
    <w:p w14:paraId="69A3C4B0" w14:textId="77777777" w:rsidR="00B5390E" w:rsidRDefault="00B5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A20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3208E" w14:paraId="1B5BFA6E" w14:textId="77777777" w:rsidTr="009C1E9A">
      <w:trPr>
        <w:cantSplit/>
      </w:trPr>
      <w:tc>
        <w:tcPr>
          <w:tcW w:w="0" w:type="pct"/>
        </w:tcPr>
        <w:p w14:paraId="44503480" w14:textId="77777777" w:rsidR="00137D90" w:rsidRDefault="00137D90" w:rsidP="009C1E9A">
          <w:pPr>
            <w:pStyle w:val="Footer"/>
            <w:tabs>
              <w:tab w:val="clear" w:pos="8640"/>
              <w:tab w:val="right" w:pos="9360"/>
            </w:tabs>
          </w:pPr>
        </w:p>
      </w:tc>
      <w:tc>
        <w:tcPr>
          <w:tcW w:w="2395" w:type="pct"/>
        </w:tcPr>
        <w:p w14:paraId="53FAFC86" w14:textId="77777777" w:rsidR="00137D90" w:rsidRDefault="00137D90" w:rsidP="009C1E9A">
          <w:pPr>
            <w:pStyle w:val="Footer"/>
            <w:tabs>
              <w:tab w:val="clear" w:pos="8640"/>
              <w:tab w:val="right" w:pos="9360"/>
            </w:tabs>
          </w:pPr>
        </w:p>
        <w:p w14:paraId="5EB67B57" w14:textId="77777777" w:rsidR="001A4310" w:rsidRDefault="001A4310" w:rsidP="009C1E9A">
          <w:pPr>
            <w:pStyle w:val="Footer"/>
            <w:tabs>
              <w:tab w:val="clear" w:pos="8640"/>
              <w:tab w:val="right" w:pos="9360"/>
            </w:tabs>
          </w:pPr>
        </w:p>
        <w:p w14:paraId="19A6B091" w14:textId="77777777" w:rsidR="00137D90" w:rsidRDefault="00137D90" w:rsidP="009C1E9A">
          <w:pPr>
            <w:pStyle w:val="Footer"/>
            <w:tabs>
              <w:tab w:val="clear" w:pos="8640"/>
              <w:tab w:val="right" w:pos="9360"/>
            </w:tabs>
          </w:pPr>
        </w:p>
      </w:tc>
      <w:tc>
        <w:tcPr>
          <w:tcW w:w="2453" w:type="pct"/>
        </w:tcPr>
        <w:p w14:paraId="2AD07D19" w14:textId="77777777" w:rsidR="00137D90" w:rsidRDefault="00137D90" w:rsidP="009C1E9A">
          <w:pPr>
            <w:pStyle w:val="Footer"/>
            <w:tabs>
              <w:tab w:val="clear" w:pos="8640"/>
              <w:tab w:val="right" w:pos="9360"/>
            </w:tabs>
            <w:jc w:val="right"/>
          </w:pPr>
        </w:p>
      </w:tc>
    </w:tr>
    <w:tr w:rsidR="00B3208E" w14:paraId="37E3B379" w14:textId="77777777" w:rsidTr="009C1E9A">
      <w:trPr>
        <w:cantSplit/>
      </w:trPr>
      <w:tc>
        <w:tcPr>
          <w:tcW w:w="0" w:type="pct"/>
        </w:tcPr>
        <w:p w14:paraId="32A31957" w14:textId="77777777" w:rsidR="00EC379B" w:rsidRDefault="00EC379B" w:rsidP="009C1E9A">
          <w:pPr>
            <w:pStyle w:val="Footer"/>
            <w:tabs>
              <w:tab w:val="clear" w:pos="8640"/>
              <w:tab w:val="right" w:pos="9360"/>
            </w:tabs>
          </w:pPr>
        </w:p>
      </w:tc>
      <w:tc>
        <w:tcPr>
          <w:tcW w:w="2395" w:type="pct"/>
        </w:tcPr>
        <w:p w14:paraId="360FEE1B" w14:textId="333E9F2D" w:rsidR="00EC379B" w:rsidRPr="009C1E9A" w:rsidRDefault="00B5390E" w:rsidP="009C1E9A">
          <w:pPr>
            <w:pStyle w:val="Footer"/>
            <w:tabs>
              <w:tab w:val="clear" w:pos="8640"/>
              <w:tab w:val="right" w:pos="9360"/>
            </w:tabs>
            <w:rPr>
              <w:rFonts w:ascii="Shruti" w:hAnsi="Shruti"/>
              <w:sz w:val="22"/>
            </w:rPr>
          </w:pPr>
          <w:r>
            <w:rPr>
              <w:rFonts w:ascii="Shruti" w:hAnsi="Shruti"/>
              <w:sz w:val="22"/>
            </w:rPr>
            <w:t>89R 27906-D</w:t>
          </w:r>
        </w:p>
      </w:tc>
      <w:tc>
        <w:tcPr>
          <w:tcW w:w="2453" w:type="pct"/>
        </w:tcPr>
        <w:p w14:paraId="1C2E50EF" w14:textId="10B164D4" w:rsidR="00EC379B" w:rsidRDefault="00B5390E" w:rsidP="009C1E9A">
          <w:pPr>
            <w:pStyle w:val="Footer"/>
            <w:tabs>
              <w:tab w:val="clear" w:pos="8640"/>
              <w:tab w:val="right" w:pos="9360"/>
            </w:tabs>
            <w:jc w:val="right"/>
          </w:pPr>
          <w:r>
            <w:fldChar w:fldCharType="begin"/>
          </w:r>
          <w:r>
            <w:instrText xml:space="preserve"> DOCPROPERTY  OTID  \* MERGEFORMAT </w:instrText>
          </w:r>
          <w:r>
            <w:fldChar w:fldCharType="separate"/>
          </w:r>
          <w:r w:rsidR="00873522">
            <w:t>25.121.2015</w:t>
          </w:r>
          <w:r>
            <w:fldChar w:fldCharType="end"/>
          </w:r>
        </w:p>
      </w:tc>
    </w:tr>
    <w:tr w:rsidR="00B3208E" w14:paraId="3B778572" w14:textId="77777777" w:rsidTr="009C1E9A">
      <w:trPr>
        <w:cantSplit/>
      </w:trPr>
      <w:tc>
        <w:tcPr>
          <w:tcW w:w="0" w:type="pct"/>
        </w:tcPr>
        <w:p w14:paraId="3568E9D9" w14:textId="77777777" w:rsidR="00EC379B" w:rsidRDefault="00EC379B" w:rsidP="009C1E9A">
          <w:pPr>
            <w:pStyle w:val="Footer"/>
            <w:tabs>
              <w:tab w:val="clear" w:pos="4320"/>
              <w:tab w:val="clear" w:pos="8640"/>
              <w:tab w:val="left" w:pos="2865"/>
            </w:tabs>
          </w:pPr>
        </w:p>
      </w:tc>
      <w:tc>
        <w:tcPr>
          <w:tcW w:w="2395" w:type="pct"/>
        </w:tcPr>
        <w:p w14:paraId="14DFE8D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CF49D74" w14:textId="77777777" w:rsidR="00EC379B" w:rsidRDefault="00EC379B" w:rsidP="006D504F">
          <w:pPr>
            <w:pStyle w:val="Footer"/>
            <w:rPr>
              <w:rStyle w:val="PageNumber"/>
            </w:rPr>
          </w:pPr>
        </w:p>
        <w:p w14:paraId="7F49560F" w14:textId="77777777" w:rsidR="00EC379B" w:rsidRDefault="00EC379B" w:rsidP="009C1E9A">
          <w:pPr>
            <w:pStyle w:val="Footer"/>
            <w:tabs>
              <w:tab w:val="clear" w:pos="8640"/>
              <w:tab w:val="right" w:pos="9360"/>
            </w:tabs>
            <w:jc w:val="right"/>
          </w:pPr>
        </w:p>
      </w:tc>
    </w:tr>
    <w:tr w:rsidR="00B3208E" w14:paraId="039926FE" w14:textId="77777777" w:rsidTr="009C1E9A">
      <w:trPr>
        <w:cantSplit/>
        <w:trHeight w:val="323"/>
      </w:trPr>
      <w:tc>
        <w:tcPr>
          <w:tcW w:w="0" w:type="pct"/>
          <w:gridSpan w:val="3"/>
        </w:tcPr>
        <w:p w14:paraId="734733F6" w14:textId="77777777" w:rsidR="00EC379B" w:rsidRDefault="00B5390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DA1647F" w14:textId="77777777" w:rsidR="00EC379B" w:rsidRDefault="00EC379B" w:rsidP="009C1E9A">
          <w:pPr>
            <w:pStyle w:val="Footer"/>
            <w:tabs>
              <w:tab w:val="clear" w:pos="8640"/>
              <w:tab w:val="right" w:pos="9360"/>
            </w:tabs>
            <w:jc w:val="center"/>
          </w:pPr>
        </w:p>
      </w:tc>
    </w:tr>
  </w:tbl>
  <w:p w14:paraId="2579A35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402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A707" w14:textId="77777777" w:rsidR="00B5390E" w:rsidRDefault="00B5390E">
      <w:r>
        <w:separator/>
      </w:r>
    </w:p>
  </w:footnote>
  <w:footnote w:type="continuationSeparator" w:id="0">
    <w:p w14:paraId="4AFE0621" w14:textId="77777777" w:rsidR="00B5390E" w:rsidRDefault="00B5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98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618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F0E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56B10"/>
    <w:multiLevelType w:val="hybridMultilevel"/>
    <w:tmpl w:val="10BAF13C"/>
    <w:lvl w:ilvl="0" w:tplc="5972FCF6">
      <w:start w:val="1"/>
      <w:numFmt w:val="bullet"/>
      <w:lvlText w:val=""/>
      <w:lvlJc w:val="left"/>
      <w:pPr>
        <w:tabs>
          <w:tab w:val="num" w:pos="720"/>
        </w:tabs>
        <w:ind w:left="720" w:hanging="360"/>
      </w:pPr>
      <w:rPr>
        <w:rFonts w:ascii="Symbol" w:hAnsi="Symbol" w:hint="default"/>
      </w:rPr>
    </w:lvl>
    <w:lvl w:ilvl="1" w:tplc="3134080E" w:tentative="1">
      <w:start w:val="1"/>
      <w:numFmt w:val="bullet"/>
      <w:lvlText w:val="o"/>
      <w:lvlJc w:val="left"/>
      <w:pPr>
        <w:ind w:left="1440" w:hanging="360"/>
      </w:pPr>
      <w:rPr>
        <w:rFonts w:ascii="Courier New" w:hAnsi="Courier New" w:cs="Courier New" w:hint="default"/>
      </w:rPr>
    </w:lvl>
    <w:lvl w:ilvl="2" w:tplc="77A6B652" w:tentative="1">
      <w:start w:val="1"/>
      <w:numFmt w:val="bullet"/>
      <w:lvlText w:val=""/>
      <w:lvlJc w:val="left"/>
      <w:pPr>
        <w:ind w:left="2160" w:hanging="360"/>
      </w:pPr>
      <w:rPr>
        <w:rFonts w:ascii="Wingdings" w:hAnsi="Wingdings" w:hint="default"/>
      </w:rPr>
    </w:lvl>
    <w:lvl w:ilvl="3" w:tplc="134A709E" w:tentative="1">
      <w:start w:val="1"/>
      <w:numFmt w:val="bullet"/>
      <w:lvlText w:val=""/>
      <w:lvlJc w:val="left"/>
      <w:pPr>
        <w:ind w:left="2880" w:hanging="360"/>
      </w:pPr>
      <w:rPr>
        <w:rFonts w:ascii="Symbol" w:hAnsi="Symbol" w:hint="default"/>
      </w:rPr>
    </w:lvl>
    <w:lvl w:ilvl="4" w:tplc="D41CB5E6" w:tentative="1">
      <w:start w:val="1"/>
      <w:numFmt w:val="bullet"/>
      <w:lvlText w:val="o"/>
      <w:lvlJc w:val="left"/>
      <w:pPr>
        <w:ind w:left="3600" w:hanging="360"/>
      </w:pPr>
      <w:rPr>
        <w:rFonts w:ascii="Courier New" w:hAnsi="Courier New" w:cs="Courier New" w:hint="default"/>
      </w:rPr>
    </w:lvl>
    <w:lvl w:ilvl="5" w:tplc="AFE20FF8" w:tentative="1">
      <w:start w:val="1"/>
      <w:numFmt w:val="bullet"/>
      <w:lvlText w:val=""/>
      <w:lvlJc w:val="left"/>
      <w:pPr>
        <w:ind w:left="4320" w:hanging="360"/>
      </w:pPr>
      <w:rPr>
        <w:rFonts w:ascii="Wingdings" w:hAnsi="Wingdings" w:hint="default"/>
      </w:rPr>
    </w:lvl>
    <w:lvl w:ilvl="6" w:tplc="FD16F6F6" w:tentative="1">
      <w:start w:val="1"/>
      <w:numFmt w:val="bullet"/>
      <w:lvlText w:val=""/>
      <w:lvlJc w:val="left"/>
      <w:pPr>
        <w:ind w:left="5040" w:hanging="360"/>
      </w:pPr>
      <w:rPr>
        <w:rFonts w:ascii="Symbol" w:hAnsi="Symbol" w:hint="default"/>
      </w:rPr>
    </w:lvl>
    <w:lvl w:ilvl="7" w:tplc="C25E038E" w:tentative="1">
      <w:start w:val="1"/>
      <w:numFmt w:val="bullet"/>
      <w:lvlText w:val="o"/>
      <w:lvlJc w:val="left"/>
      <w:pPr>
        <w:ind w:left="5760" w:hanging="360"/>
      </w:pPr>
      <w:rPr>
        <w:rFonts w:ascii="Courier New" w:hAnsi="Courier New" w:cs="Courier New" w:hint="default"/>
      </w:rPr>
    </w:lvl>
    <w:lvl w:ilvl="8" w:tplc="BF12AD62" w:tentative="1">
      <w:start w:val="1"/>
      <w:numFmt w:val="bullet"/>
      <w:lvlText w:val=""/>
      <w:lvlJc w:val="left"/>
      <w:pPr>
        <w:ind w:left="6480" w:hanging="360"/>
      </w:pPr>
      <w:rPr>
        <w:rFonts w:ascii="Wingdings" w:hAnsi="Wingdings" w:hint="default"/>
      </w:rPr>
    </w:lvl>
  </w:abstractNum>
  <w:abstractNum w:abstractNumId="1" w15:restartNumberingAfterBreak="0">
    <w:nsid w:val="56013A28"/>
    <w:multiLevelType w:val="hybridMultilevel"/>
    <w:tmpl w:val="A9689066"/>
    <w:lvl w:ilvl="0" w:tplc="7E085882">
      <w:start w:val="1"/>
      <w:numFmt w:val="bullet"/>
      <w:lvlText w:val=""/>
      <w:lvlJc w:val="left"/>
      <w:pPr>
        <w:tabs>
          <w:tab w:val="num" w:pos="720"/>
        </w:tabs>
        <w:ind w:left="720" w:hanging="360"/>
      </w:pPr>
      <w:rPr>
        <w:rFonts w:ascii="Symbol" w:hAnsi="Symbol" w:hint="default"/>
      </w:rPr>
    </w:lvl>
    <w:lvl w:ilvl="1" w:tplc="0C5A2D56">
      <w:start w:val="1"/>
      <w:numFmt w:val="bullet"/>
      <w:lvlText w:val="o"/>
      <w:lvlJc w:val="left"/>
      <w:pPr>
        <w:ind w:left="1440" w:hanging="360"/>
      </w:pPr>
      <w:rPr>
        <w:rFonts w:ascii="Courier New" w:hAnsi="Courier New" w:cs="Courier New" w:hint="default"/>
      </w:rPr>
    </w:lvl>
    <w:lvl w:ilvl="2" w:tplc="C3AC2952" w:tentative="1">
      <w:start w:val="1"/>
      <w:numFmt w:val="bullet"/>
      <w:lvlText w:val=""/>
      <w:lvlJc w:val="left"/>
      <w:pPr>
        <w:ind w:left="2160" w:hanging="360"/>
      </w:pPr>
      <w:rPr>
        <w:rFonts w:ascii="Wingdings" w:hAnsi="Wingdings" w:hint="default"/>
      </w:rPr>
    </w:lvl>
    <w:lvl w:ilvl="3" w:tplc="AD9CB526" w:tentative="1">
      <w:start w:val="1"/>
      <w:numFmt w:val="bullet"/>
      <w:lvlText w:val=""/>
      <w:lvlJc w:val="left"/>
      <w:pPr>
        <w:ind w:left="2880" w:hanging="360"/>
      </w:pPr>
      <w:rPr>
        <w:rFonts w:ascii="Symbol" w:hAnsi="Symbol" w:hint="default"/>
      </w:rPr>
    </w:lvl>
    <w:lvl w:ilvl="4" w:tplc="FE4427DE" w:tentative="1">
      <w:start w:val="1"/>
      <w:numFmt w:val="bullet"/>
      <w:lvlText w:val="o"/>
      <w:lvlJc w:val="left"/>
      <w:pPr>
        <w:ind w:left="3600" w:hanging="360"/>
      </w:pPr>
      <w:rPr>
        <w:rFonts w:ascii="Courier New" w:hAnsi="Courier New" w:cs="Courier New" w:hint="default"/>
      </w:rPr>
    </w:lvl>
    <w:lvl w:ilvl="5" w:tplc="F20C60F4" w:tentative="1">
      <w:start w:val="1"/>
      <w:numFmt w:val="bullet"/>
      <w:lvlText w:val=""/>
      <w:lvlJc w:val="left"/>
      <w:pPr>
        <w:ind w:left="4320" w:hanging="360"/>
      </w:pPr>
      <w:rPr>
        <w:rFonts w:ascii="Wingdings" w:hAnsi="Wingdings" w:hint="default"/>
      </w:rPr>
    </w:lvl>
    <w:lvl w:ilvl="6" w:tplc="ED78B0D0" w:tentative="1">
      <w:start w:val="1"/>
      <w:numFmt w:val="bullet"/>
      <w:lvlText w:val=""/>
      <w:lvlJc w:val="left"/>
      <w:pPr>
        <w:ind w:left="5040" w:hanging="360"/>
      </w:pPr>
      <w:rPr>
        <w:rFonts w:ascii="Symbol" w:hAnsi="Symbol" w:hint="default"/>
      </w:rPr>
    </w:lvl>
    <w:lvl w:ilvl="7" w:tplc="BB88C968" w:tentative="1">
      <w:start w:val="1"/>
      <w:numFmt w:val="bullet"/>
      <w:lvlText w:val="o"/>
      <w:lvlJc w:val="left"/>
      <w:pPr>
        <w:ind w:left="5760" w:hanging="360"/>
      </w:pPr>
      <w:rPr>
        <w:rFonts w:ascii="Courier New" w:hAnsi="Courier New" w:cs="Courier New" w:hint="default"/>
      </w:rPr>
    </w:lvl>
    <w:lvl w:ilvl="8" w:tplc="28C0AF10" w:tentative="1">
      <w:start w:val="1"/>
      <w:numFmt w:val="bullet"/>
      <w:lvlText w:val=""/>
      <w:lvlJc w:val="left"/>
      <w:pPr>
        <w:ind w:left="6480" w:hanging="360"/>
      </w:pPr>
      <w:rPr>
        <w:rFonts w:ascii="Wingdings" w:hAnsi="Wingdings" w:hint="default"/>
      </w:rPr>
    </w:lvl>
  </w:abstractNum>
  <w:abstractNum w:abstractNumId="2" w15:restartNumberingAfterBreak="0">
    <w:nsid w:val="7C1D4832"/>
    <w:multiLevelType w:val="hybridMultilevel"/>
    <w:tmpl w:val="E0A83B5C"/>
    <w:lvl w:ilvl="0" w:tplc="2D5699FA">
      <w:start w:val="1"/>
      <w:numFmt w:val="bullet"/>
      <w:lvlText w:val=""/>
      <w:lvlJc w:val="left"/>
      <w:pPr>
        <w:tabs>
          <w:tab w:val="num" w:pos="720"/>
        </w:tabs>
        <w:ind w:left="720" w:hanging="360"/>
      </w:pPr>
      <w:rPr>
        <w:rFonts w:ascii="Symbol" w:hAnsi="Symbol" w:hint="default"/>
      </w:rPr>
    </w:lvl>
    <w:lvl w:ilvl="1" w:tplc="8B941168" w:tentative="1">
      <w:start w:val="1"/>
      <w:numFmt w:val="bullet"/>
      <w:lvlText w:val="o"/>
      <w:lvlJc w:val="left"/>
      <w:pPr>
        <w:ind w:left="1440" w:hanging="360"/>
      </w:pPr>
      <w:rPr>
        <w:rFonts w:ascii="Courier New" w:hAnsi="Courier New" w:cs="Courier New" w:hint="default"/>
      </w:rPr>
    </w:lvl>
    <w:lvl w:ilvl="2" w:tplc="295E88F0" w:tentative="1">
      <w:start w:val="1"/>
      <w:numFmt w:val="bullet"/>
      <w:lvlText w:val=""/>
      <w:lvlJc w:val="left"/>
      <w:pPr>
        <w:ind w:left="2160" w:hanging="360"/>
      </w:pPr>
      <w:rPr>
        <w:rFonts w:ascii="Wingdings" w:hAnsi="Wingdings" w:hint="default"/>
      </w:rPr>
    </w:lvl>
    <w:lvl w:ilvl="3" w:tplc="C456A258" w:tentative="1">
      <w:start w:val="1"/>
      <w:numFmt w:val="bullet"/>
      <w:lvlText w:val=""/>
      <w:lvlJc w:val="left"/>
      <w:pPr>
        <w:ind w:left="2880" w:hanging="360"/>
      </w:pPr>
      <w:rPr>
        <w:rFonts w:ascii="Symbol" w:hAnsi="Symbol" w:hint="default"/>
      </w:rPr>
    </w:lvl>
    <w:lvl w:ilvl="4" w:tplc="8D50B2D4" w:tentative="1">
      <w:start w:val="1"/>
      <w:numFmt w:val="bullet"/>
      <w:lvlText w:val="o"/>
      <w:lvlJc w:val="left"/>
      <w:pPr>
        <w:ind w:left="3600" w:hanging="360"/>
      </w:pPr>
      <w:rPr>
        <w:rFonts w:ascii="Courier New" w:hAnsi="Courier New" w:cs="Courier New" w:hint="default"/>
      </w:rPr>
    </w:lvl>
    <w:lvl w:ilvl="5" w:tplc="FA123CFC" w:tentative="1">
      <w:start w:val="1"/>
      <w:numFmt w:val="bullet"/>
      <w:lvlText w:val=""/>
      <w:lvlJc w:val="left"/>
      <w:pPr>
        <w:ind w:left="4320" w:hanging="360"/>
      </w:pPr>
      <w:rPr>
        <w:rFonts w:ascii="Wingdings" w:hAnsi="Wingdings" w:hint="default"/>
      </w:rPr>
    </w:lvl>
    <w:lvl w:ilvl="6" w:tplc="0F1C1AE8" w:tentative="1">
      <w:start w:val="1"/>
      <w:numFmt w:val="bullet"/>
      <w:lvlText w:val=""/>
      <w:lvlJc w:val="left"/>
      <w:pPr>
        <w:ind w:left="5040" w:hanging="360"/>
      </w:pPr>
      <w:rPr>
        <w:rFonts w:ascii="Symbol" w:hAnsi="Symbol" w:hint="default"/>
      </w:rPr>
    </w:lvl>
    <w:lvl w:ilvl="7" w:tplc="77B0310E" w:tentative="1">
      <w:start w:val="1"/>
      <w:numFmt w:val="bullet"/>
      <w:lvlText w:val="o"/>
      <w:lvlJc w:val="left"/>
      <w:pPr>
        <w:ind w:left="5760" w:hanging="360"/>
      </w:pPr>
      <w:rPr>
        <w:rFonts w:ascii="Courier New" w:hAnsi="Courier New" w:cs="Courier New" w:hint="default"/>
      </w:rPr>
    </w:lvl>
    <w:lvl w:ilvl="8" w:tplc="774C1E0A" w:tentative="1">
      <w:start w:val="1"/>
      <w:numFmt w:val="bullet"/>
      <w:lvlText w:val=""/>
      <w:lvlJc w:val="left"/>
      <w:pPr>
        <w:ind w:left="6480" w:hanging="360"/>
      </w:pPr>
      <w:rPr>
        <w:rFonts w:ascii="Wingdings" w:hAnsi="Wingdings" w:hint="default"/>
      </w:rPr>
    </w:lvl>
  </w:abstractNum>
  <w:num w:numId="1" w16cid:durableId="296372845">
    <w:abstractNumId w:val="1"/>
  </w:num>
  <w:num w:numId="2" w16cid:durableId="1879659577">
    <w:abstractNumId w:val="0"/>
  </w:num>
  <w:num w:numId="3" w16cid:durableId="258955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17"/>
    <w:rsid w:val="00000A70"/>
    <w:rsid w:val="000017F8"/>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917"/>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ABF"/>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4D6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C7AA4"/>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2B6B"/>
    <w:rsid w:val="004F32AD"/>
    <w:rsid w:val="004F57CB"/>
    <w:rsid w:val="004F64F6"/>
    <w:rsid w:val="004F69C0"/>
    <w:rsid w:val="00500121"/>
    <w:rsid w:val="005017AC"/>
    <w:rsid w:val="00501E8A"/>
    <w:rsid w:val="00505121"/>
    <w:rsid w:val="00505C04"/>
    <w:rsid w:val="00505F1B"/>
    <w:rsid w:val="005073E8"/>
    <w:rsid w:val="00510503"/>
    <w:rsid w:val="0051324D"/>
    <w:rsid w:val="00515091"/>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E6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64DF"/>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9A5"/>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522"/>
    <w:rsid w:val="00874C05"/>
    <w:rsid w:val="0087588B"/>
    <w:rsid w:val="0087680A"/>
    <w:rsid w:val="008806EB"/>
    <w:rsid w:val="008826F2"/>
    <w:rsid w:val="008845BA"/>
    <w:rsid w:val="00884AE3"/>
    <w:rsid w:val="00885203"/>
    <w:rsid w:val="008859CA"/>
    <w:rsid w:val="008861EE"/>
    <w:rsid w:val="00890B59"/>
    <w:rsid w:val="008930D7"/>
    <w:rsid w:val="008947A7"/>
    <w:rsid w:val="00894871"/>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B7C"/>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596"/>
    <w:rsid w:val="00930897"/>
    <w:rsid w:val="009320D2"/>
    <w:rsid w:val="009329FB"/>
    <w:rsid w:val="00932C77"/>
    <w:rsid w:val="00933EFE"/>
    <w:rsid w:val="0093417F"/>
    <w:rsid w:val="00934AC2"/>
    <w:rsid w:val="009375BB"/>
    <w:rsid w:val="009418E9"/>
    <w:rsid w:val="00946044"/>
    <w:rsid w:val="0094653B"/>
    <w:rsid w:val="009465AB"/>
    <w:rsid w:val="00946DEE"/>
    <w:rsid w:val="00953499"/>
    <w:rsid w:val="00954A16"/>
    <w:rsid w:val="0095696D"/>
    <w:rsid w:val="00957A3B"/>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118"/>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208E"/>
    <w:rsid w:val="00B34F25"/>
    <w:rsid w:val="00B43672"/>
    <w:rsid w:val="00B473D8"/>
    <w:rsid w:val="00B47464"/>
    <w:rsid w:val="00B5165A"/>
    <w:rsid w:val="00B524C1"/>
    <w:rsid w:val="00B52C8D"/>
    <w:rsid w:val="00B5390E"/>
    <w:rsid w:val="00B54DA6"/>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15D"/>
    <w:rsid w:val="00C60206"/>
    <w:rsid w:val="00C615D4"/>
    <w:rsid w:val="00C61B5D"/>
    <w:rsid w:val="00C61C0E"/>
    <w:rsid w:val="00C61C64"/>
    <w:rsid w:val="00C61CDA"/>
    <w:rsid w:val="00C6555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432"/>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73A"/>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54A4"/>
    <w:rsid w:val="00F96602"/>
    <w:rsid w:val="00F9735A"/>
    <w:rsid w:val="00FA2F9E"/>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95C449-62B3-432D-9410-84DFCE1E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C6917"/>
    <w:rPr>
      <w:sz w:val="16"/>
      <w:szCs w:val="16"/>
    </w:rPr>
  </w:style>
  <w:style w:type="paragraph" w:styleId="CommentText">
    <w:name w:val="annotation text"/>
    <w:basedOn w:val="Normal"/>
    <w:link w:val="CommentTextChar"/>
    <w:unhideWhenUsed/>
    <w:rsid w:val="000C6917"/>
    <w:rPr>
      <w:sz w:val="20"/>
      <w:szCs w:val="20"/>
    </w:rPr>
  </w:style>
  <w:style w:type="character" w:customStyle="1" w:styleId="CommentTextChar">
    <w:name w:val="Comment Text Char"/>
    <w:basedOn w:val="DefaultParagraphFont"/>
    <w:link w:val="CommentText"/>
    <w:rsid w:val="000C6917"/>
  </w:style>
  <w:style w:type="paragraph" w:styleId="ListParagraph">
    <w:name w:val="List Paragraph"/>
    <w:basedOn w:val="Normal"/>
    <w:uiPriority w:val="34"/>
    <w:qFormat/>
    <w:rsid w:val="000C6917"/>
    <w:pPr>
      <w:ind w:left="720"/>
      <w:contextualSpacing/>
    </w:pPr>
  </w:style>
  <w:style w:type="paragraph" w:styleId="CommentSubject">
    <w:name w:val="annotation subject"/>
    <w:basedOn w:val="CommentText"/>
    <w:next w:val="CommentText"/>
    <w:link w:val="CommentSubjectChar"/>
    <w:semiHidden/>
    <w:unhideWhenUsed/>
    <w:rsid w:val="00515091"/>
    <w:rPr>
      <w:b/>
      <w:bCs/>
    </w:rPr>
  </w:style>
  <w:style w:type="character" w:customStyle="1" w:styleId="CommentSubjectChar">
    <w:name w:val="Comment Subject Char"/>
    <w:basedOn w:val="CommentTextChar"/>
    <w:link w:val="CommentSubject"/>
    <w:semiHidden/>
    <w:rsid w:val="00515091"/>
    <w:rPr>
      <w:b/>
      <w:bCs/>
    </w:rPr>
  </w:style>
  <w:style w:type="paragraph" w:styleId="Revision">
    <w:name w:val="Revision"/>
    <w:hidden/>
    <w:uiPriority w:val="99"/>
    <w:semiHidden/>
    <w:rsid w:val="00933E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4294</Characters>
  <Application>Microsoft Office Word</Application>
  <DocSecurity>0</DocSecurity>
  <Lines>96</Lines>
  <Paragraphs>31</Paragraphs>
  <ScaleCrop>false</ScaleCrop>
  <HeadingPairs>
    <vt:vector size="2" baseType="variant">
      <vt:variant>
        <vt:lpstr>Title</vt:lpstr>
      </vt:variant>
      <vt:variant>
        <vt:i4>1</vt:i4>
      </vt:variant>
    </vt:vector>
  </HeadingPairs>
  <TitlesOfParts>
    <vt:vector size="1" baseType="lpstr">
      <vt:lpstr>BA - HB03071 (Committee Report (Substituted))</vt:lpstr>
    </vt:vector>
  </TitlesOfParts>
  <Company>State of Texas</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27906</dc:subject>
  <dc:creator>State of Texas</dc:creator>
  <dc:description>HB 3071 by Geren-(H)Environmental Regulation</dc:description>
  <cp:lastModifiedBy>Damian Duarte</cp:lastModifiedBy>
  <cp:revision>2</cp:revision>
  <cp:lastPrinted>2003-11-26T17:21:00Z</cp:lastPrinted>
  <dcterms:created xsi:type="dcterms:W3CDTF">2025-05-02T21:03:00Z</dcterms:created>
  <dcterms:modified xsi:type="dcterms:W3CDTF">2025-05-02T21:03:00Z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25.121.2015</vt:lpwstr>
  </property>
</Properties>
</file>