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C715A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C715A7"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C715A7"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4502AE">
                  <w:rPr>
                    <w:rFonts w:cs="Times New Roman"/>
                    <w:szCs w:val="24"/>
                  </w:rPr>
                  <w:t>H.B. 3073</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howingPlcHdr/>
          </w:sdtPr>
          <w:sdtEndPr/>
          <w:sdtContent>
            <w:tc>
              <w:tcPr>
                <w:tcW w:w="2718" w:type="dxa"/>
              </w:tcPr>
              <w:p w:rsidR="00C43D01" w:rsidRPr="000F1DF9" w:rsidRDefault="00C43D01" w:rsidP="00C65088">
                <w:pPr>
                  <w:rPr>
                    <w:rFonts w:cs="Times New Roman"/>
                    <w:szCs w:val="24"/>
                  </w:rPr>
                </w:pPr>
              </w:p>
            </w:tc>
          </w:sdtContent>
        </w:sdt>
        <w:tc>
          <w:tcPr>
            <w:tcW w:w="6858" w:type="dxa"/>
          </w:tcPr>
          <w:p w:rsidR="00C43D01" w:rsidRPr="005C2A78" w:rsidRDefault="00C715A7"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4502AE">
                  <w:rPr>
                    <w:rFonts w:cs="Times New Roman"/>
                    <w:szCs w:val="24"/>
                  </w:rPr>
                  <w:t>Howard et al.</w:t>
                </w:r>
              </w:sdtContent>
            </w:sdt>
            <w:sdt>
              <w:sdtPr>
                <w:rPr>
                  <w:rFonts w:cs="Times New Roman"/>
                  <w:szCs w:val="24"/>
                </w:rPr>
                <w:alias w:val="Sponsor"/>
                <w:tag w:val="Sponsor"/>
                <w:id w:val="-2039656131"/>
                <w:lock w:val="sdtContentLocked"/>
                <w:placeholder>
                  <w:docPart w:val="18D7607E7FB845E59D3F80CFDD1EF180"/>
                </w:placeholder>
              </w:sdtPr>
              <w:sdtEndPr/>
              <w:sdtContent>
                <w:r w:rsidR="004502AE">
                  <w:rPr>
                    <w:rFonts w:cs="Times New Roman"/>
                    <w:szCs w:val="24"/>
                  </w:rPr>
                  <w:t xml:space="preserve"> (Paxton)</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4502AE" w:rsidP="000F1DF9">
                <w:pPr>
                  <w:jc w:val="right"/>
                  <w:rPr>
                    <w:rFonts w:cs="Times New Roman"/>
                    <w:szCs w:val="24"/>
                  </w:rPr>
                </w:pPr>
                <w:r>
                  <w:rPr>
                    <w:rFonts w:cs="Times New Roman"/>
                    <w:szCs w:val="24"/>
                  </w:rPr>
                  <w:t>Criminal Justice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1T00:00:00Z">
              <w:dateFormat w:val="M/d/yyyy"/>
              <w:lid w:val="en-US"/>
              <w:storeMappedDataAs w:val="dateTime"/>
              <w:calendar w:val="gregorian"/>
            </w:date>
          </w:sdtPr>
          <w:sdtEndPr/>
          <w:sdtContent>
            <w:tc>
              <w:tcPr>
                <w:tcW w:w="6858" w:type="dxa"/>
              </w:tcPr>
              <w:p w:rsidR="00C43D01" w:rsidRPr="00FF6471" w:rsidRDefault="004502AE" w:rsidP="000F1DF9">
                <w:pPr>
                  <w:jc w:val="right"/>
                  <w:rPr>
                    <w:rFonts w:cs="Times New Roman"/>
                    <w:szCs w:val="24"/>
                  </w:rPr>
                </w:pPr>
                <w:r>
                  <w:rPr>
                    <w:rFonts w:cs="Times New Roman"/>
                    <w:szCs w:val="24"/>
                  </w:rPr>
                  <w:t>5/21/2025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4502AE"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4502AE" w:rsidRDefault="004502AE" w:rsidP="004502AE">
          <w:pPr>
            <w:pStyle w:val="NormalWeb"/>
            <w:spacing w:before="0" w:beforeAutospacing="0" w:after="0" w:afterAutospacing="0"/>
            <w:jc w:val="both"/>
            <w:divId w:val="19203133"/>
            <w:rPr>
              <w:rFonts w:eastAsia="Times New Roman"/>
              <w:bCs/>
            </w:rPr>
          </w:pPr>
        </w:p>
        <w:p w:rsidR="004502AE" w:rsidRDefault="004502AE" w:rsidP="004502AE">
          <w:pPr>
            <w:pStyle w:val="NormalWeb"/>
            <w:spacing w:before="0" w:beforeAutospacing="0" w:after="0" w:afterAutospacing="0"/>
            <w:jc w:val="both"/>
            <w:divId w:val="19203133"/>
            <w:rPr>
              <w:color w:val="000000"/>
            </w:rPr>
          </w:pPr>
          <w:r w:rsidRPr="004502AE">
            <w:rPr>
              <w:color w:val="000000"/>
            </w:rPr>
            <w:t xml:space="preserve">The Sexual Assault Survivors' Task Force (SASTF) in the Office of the Governor was created by the 86th Legislature to establish a survivor-centered, collaborative, and coordinated response to sexual violence in Texas. </w:t>
          </w:r>
          <w:r>
            <w:rPr>
              <w:color w:val="000000"/>
            </w:rPr>
            <w:t>H.B.</w:t>
          </w:r>
          <w:r w:rsidRPr="004502AE">
            <w:rPr>
              <w:color w:val="000000"/>
            </w:rPr>
            <w:t xml:space="preserve"> 3073, the Summer Willis Act, codifies the top priority legislative recommendation from this </w:t>
          </w:r>
          <w:r>
            <w:rPr>
              <w:color w:val="000000"/>
            </w:rPr>
            <w:t>t</w:t>
          </w:r>
          <w:r w:rsidRPr="004502AE">
            <w:rPr>
              <w:color w:val="000000"/>
            </w:rPr>
            <w:t xml:space="preserve">ask </w:t>
          </w:r>
          <w:r>
            <w:rPr>
              <w:color w:val="000000"/>
            </w:rPr>
            <w:t>f</w:t>
          </w:r>
          <w:r w:rsidRPr="004502AE">
            <w:rPr>
              <w:color w:val="000000"/>
            </w:rPr>
            <w:t xml:space="preserve">orce. </w:t>
          </w:r>
        </w:p>
        <w:p w:rsidR="004502AE" w:rsidRPr="004502AE" w:rsidRDefault="004502AE" w:rsidP="004502AE">
          <w:pPr>
            <w:pStyle w:val="NormalWeb"/>
            <w:spacing w:before="0" w:beforeAutospacing="0" w:after="0" w:afterAutospacing="0"/>
            <w:jc w:val="both"/>
            <w:divId w:val="19203133"/>
            <w:rPr>
              <w:color w:val="000000"/>
            </w:rPr>
          </w:pPr>
        </w:p>
        <w:p w:rsidR="004502AE" w:rsidRDefault="004502AE" w:rsidP="004502AE">
          <w:pPr>
            <w:pStyle w:val="NormalWeb"/>
            <w:spacing w:before="0" w:beforeAutospacing="0" w:after="0" w:afterAutospacing="0"/>
            <w:jc w:val="both"/>
            <w:divId w:val="19203133"/>
            <w:rPr>
              <w:color w:val="000000"/>
            </w:rPr>
          </w:pPr>
          <w:r w:rsidRPr="004502AE">
            <w:rPr>
              <w:color w:val="000000"/>
            </w:rPr>
            <w:t xml:space="preserve">Specifically, </w:t>
          </w:r>
          <w:r>
            <w:rPr>
              <w:color w:val="000000"/>
            </w:rPr>
            <w:t>H.B.</w:t>
          </w:r>
          <w:r w:rsidRPr="004502AE">
            <w:rPr>
              <w:color w:val="000000"/>
            </w:rPr>
            <w:t xml:space="preserve"> 3073 will help prosecutors hold perpetrators of sexual violence accountable and provide clear protections for survivors in circumstances not explicitly covered by current Texas law. </w:t>
          </w:r>
        </w:p>
        <w:p w:rsidR="004502AE" w:rsidRPr="004502AE" w:rsidRDefault="004502AE" w:rsidP="004502AE">
          <w:pPr>
            <w:pStyle w:val="NormalWeb"/>
            <w:spacing w:before="0" w:beforeAutospacing="0" w:after="0" w:afterAutospacing="0"/>
            <w:jc w:val="both"/>
            <w:divId w:val="19203133"/>
            <w:rPr>
              <w:color w:val="000000"/>
            </w:rPr>
          </w:pPr>
        </w:p>
        <w:p w:rsidR="004502AE" w:rsidRDefault="004502AE" w:rsidP="004502AE">
          <w:pPr>
            <w:pStyle w:val="NormalWeb"/>
            <w:spacing w:before="0" w:beforeAutospacing="0" w:after="0" w:afterAutospacing="0"/>
            <w:jc w:val="both"/>
            <w:divId w:val="19203133"/>
            <w:rPr>
              <w:color w:val="000000"/>
            </w:rPr>
          </w:pPr>
          <w:r>
            <w:rPr>
              <w:color w:val="000000"/>
            </w:rPr>
            <w:t xml:space="preserve">H.B. </w:t>
          </w:r>
          <w:r w:rsidRPr="004502AE">
            <w:rPr>
              <w:color w:val="000000"/>
            </w:rPr>
            <w:t xml:space="preserve">3073 provides an affirmative definition of consent with respect to sexual assault, which is already utilized in Texas statute for other crimes, such as burglary or trespassing. </w:t>
          </w:r>
        </w:p>
        <w:p w:rsidR="004502AE" w:rsidRPr="004502AE" w:rsidRDefault="004502AE" w:rsidP="004502AE">
          <w:pPr>
            <w:pStyle w:val="NormalWeb"/>
            <w:spacing w:before="0" w:beforeAutospacing="0" w:after="0" w:afterAutospacing="0"/>
            <w:jc w:val="both"/>
            <w:divId w:val="19203133"/>
            <w:rPr>
              <w:color w:val="000000"/>
            </w:rPr>
          </w:pPr>
        </w:p>
        <w:p w:rsidR="004502AE" w:rsidRDefault="004502AE" w:rsidP="004502AE">
          <w:pPr>
            <w:pStyle w:val="NormalWeb"/>
            <w:spacing w:before="0" w:beforeAutospacing="0" w:after="0" w:afterAutospacing="0"/>
            <w:jc w:val="both"/>
            <w:divId w:val="19203133"/>
            <w:rPr>
              <w:color w:val="000000"/>
            </w:rPr>
          </w:pPr>
          <w:r w:rsidRPr="004502AE">
            <w:rPr>
              <w:color w:val="000000"/>
            </w:rPr>
            <w:t xml:space="preserve">Additionally, the bill adds that sexual assault is without consent if the actor knows or reasonably should know that the other person is intoxicated or impaired by any substance and cannot give consent. Current Texas law only contemplates if the actor intentionally impaired the other person by administering a substance. Thus, those who are intoxicated of their own volition or are drugged by one person but sexually assaulted by another, are not protected as a result of this language. Such was the case for Summer Willis, after whom this bill is named. </w:t>
          </w:r>
        </w:p>
        <w:p w:rsidR="004502AE" w:rsidRPr="004502AE" w:rsidRDefault="004502AE" w:rsidP="004502AE">
          <w:pPr>
            <w:pStyle w:val="NormalWeb"/>
            <w:spacing w:before="0" w:beforeAutospacing="0" w:after="0" w:afterAutospacing="0"/>
            <w:jc w:val="both"/>
            <w:divId w:val="19203133"/>
            <w:rPr>
              <w:color w:val="000000"/>
            </w:rPr>
          </w:pPr>
        </w:p>
        <w:p w:rsidR="004502AE" w:rsidRPr="004502AE" w:rsidRDefault="004502AE" w:rsidP="004502AE">
          <w:pPr>
            <w:pStyle w:val="NormalWeb"/>
            <w:spacing w:before="0" w:beforeAutospacing="0" w:after="0" w:afterAutospacing="0"/>
            <w:jc w:val="both"/>
            <w:divId w:val="19203133"/>
            <w:rPr>
              <w:color w:val="000000"/>
            </w:rPr>
          </w:pPr>
          <w:r w:rsidRPr="004502AE">
            <w:rPr>
              <w:color w:val="000000"/>
            </w:rPr>
            <w:t xml:space="preserve">Finally, the bill further clarifies that if a person knows that consent has been withdrawn, that person must not persist in the act. </w:t>
          </w:r>
        </w:p>
        <w:p w:rsidR="005320AA" w:rsidRPr="00D70925" w:rsidRDefault="00C715A7" w:rsidP="004502AE">
          <w:pPr>
            <w:spacing w:after="0" w:line="240" w:lineRule="auto"/>
            <w:jc w:val="both"/>
            <w:rPr>
              <w:rFonts w:eastAsia="Times New Roman" w:cs="Times New Roman"/>
              <w:bCs/>
              <w:szCs w:val="24"/>
            </w:rPr>
          </w:pPr>
        </w:p>
      </w:sdtContent>
    </w:sdt>
    <w:p w:rsidR="004502AE" w:rsidRDefault="004502AE" w:rsidP="004502AE">
      <w:pPr>
        <w:spacing w:after="0" w:line="240" w:lineRule="auto"/>
        <w:jc w:val="both"/>
        <w:rPr>
          <w:rFonts w:eastAsia="Times New Roman" w:cs="Times New Roman"/>
          <w:b/>
          <w:szCs w:val="24"/>
          <w:u w:val="single"/>
        </w:rPr>
      </w:pPr>
      <w:bookmarkStart w:id="0" w:name="EnrolledProposed"/>
      <w:bookmarkEnd w:id="0"/>
      <w:r>
        <w:rPr>
          <w:rFonts w:cs="Times New Roman"/>
          <w:szCs w:val="24"/>
        </w:rPr>
        <w:t>H.B. 3073</w:t>
      </w:r>
      <w:r w:rsidR="00FF6471">
        <w:rPr>
          <w:rFonts w:cs="Times New Roman"/>
          <w:szCs w:val="24"/>
        </w:rPr>
        <w:t xml:space="preserve"> </w:t>
      </w:r>
      <w:bookmarkStart w:id="1" w:name="AmendsCurrentLaw"/>
      <w:bookmarkEnd w:id="1"/>
      <w:r>
        <w:rPr>
          <w:rFonts w:cs="Times New Roman"/>
          <w:szCs w:val="24"/>
        </w:rPr>
        <w:t>amends current law relating to the prosecution of the offense of sexual assault.</w:t>
      </w:r>
    </w:p>
    <w:p w:rsidR="004502AE" w:rsidRPr="004502AE" w:rsidRDefault="004502AE" w:rsidP="004502AE">
      <w:pPr>
        <w:spacing w:after="0" w:line="240" w:lineRule="auto"/>
        <w:jc w:val="both"/>
        <w:rPr>
          <w:rFonts w:eastAsia="Times New Roman" w:cs="Times New Roman"/>
          <w:szCs w:val="24"/>
        </w:rPr>
      </w:pPr>
    </w:p>
    <w:p w:rsidR="00C43D01" w:rsidRPr="005C2A78" w:rsidRDefault="00C715A7" w:rsidP="004502A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4502AE">
      <w:pPr>
        <w:spacing w:after="0" w:line="240" w:lineRule="auto"/>
        <w:jc w:val="both"/>
        <w:rPr>
          <w:rFonts w:cs="Times New Roman"/>
          <w:szCs w:val="24"/>
        </w:rPr>
      </w:pPr>
    </w:p>
    <w:p w:rsidR="00C43D01" w:rsidRPr="006529C4" w:rsidRDefault="004502AE" w:rsidP="004502A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4502AE">
      <w:pPr>
        <w:spacing w:after="0" w:line="240" w:lineRule="auto"/>
        <w:jc w:val="both"/>
        <w:rPr>
          <w:rFonts w:cs="Times New Roman"/>
          <w:szCs w:val="24"/>
        </w:rPr>
      </w:pPr>
    </w:p>
    <w:p w:rsidR="00C43D01" w:rsidRPr="005C2A78" w:rsidRDefault="00C715A7" w:rsidP="004502A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4502AE">
      <w:pPr>
        <w:spacing w:after="0" w:line="240" w:lineRule="auto"/>
        <w:jc w:val="both"/>
        <w:rPr>
          <w:rFonts w:eastAsia="Times New Roman" w:cs="Times New Roman"/>
          <w:szCs w:val="24"/>
        </w:rPr>
      </w:pPr>
    </w:p>
    <w:p w:rsidR="00C43D01" w:rsidRPr="005C2A78" w:rsidRDefault="00C43D01" w:rsidP="004502AE">
      <w:pPr>
        <w:spacing w:after="0" w:line="240" w:lineRule="auto"/>
        <w:jc w:val="both"/>
        <w:rPr>
          <w:rFonts w:eastAsia="Times New Roman" w:cs="Times New Roman"/>
          <w:szCs w:val="24"/>
        </w:rPr>
      </w:pPr>
      <w:r w:rsidRPr="005C2A78">
        <w:rPr>
          <w:rFonts w:eastAsia="Times New Roman" w:cs="Times New Roman"/>
          <w:szCs w:val="24"/>
        </w:rPr>
        <w:t>SECTION 1.</w:t>
      </w:r>
      <w:r w:rsidR="004502AE">
        <w:rPr>
          <w:rFonts w:eastAsia="Times New Roman" w:cs="Times New Roman"/>
          <w:szCs w:val="24"/>
        </w:rPr>
        <w:t xml:space="preserve"> Authorizes this Act to be cited as the Summer Willis Act. </w:t>
      </w:r>
    </w:p>
    <w:p w:rsidR="00C43D01" w:rsidRPr="005C2A78" w:rsidRDefault="00C43D01" w:rsidP="004502AE">
      <w:pPr>
        <w:spacing w:after="0" w:line="240" w:lineRule="auto"/>
        <w:jc w:val="both"/>
        <w:rPr>
          <w:rFonts w:eastAsia="Times New Roman" w:cs="Times New Roman"/>
          <w:szCs w:val="24"/>
        </w:rPr>
      </w:pPr>
    </w:p>
    <w:p w:rsidR="00C43D01" w:rsidRDefault="00C43D01" w:rsidP="004502AE">
      <w:pPr>
        <w:spacing w:after="0" w:line="240" w:lineRule="auto"/>
        <w:jc w:val="both"/>
        <w:rPr>
          <w:rFonts w:eastAsia="Times New Roman" w:cs="Times New Roman"/>
          <w:szCs w:val="24"/>
        </w:rPr>
      </w:pPr>
      <w:r w:rsidRPr="005C2A78">
        <w:rPr>
          <w:rFonts w:eastAsia="Times New Roman" w:cs="Times New Roman"/>
          <w:szCs w:val="24"/>
        </w:rPr>
        <w:t>SECTION 2.</w:t>
      </w:r>
      <w:r w:rsidR="004502AE">
        <w:rPr>
          <w:rFonts w:eastAsia="Times New Roman" w:cs="Times New Roman"/>
          <w:szCs w:val="24"/>
        </w:rPr>
        <w:t xml:space="preserve"> Amends Section 22.011(b), Penal Code, as follows:</w:t>
      </w:r>
    </w:p>
    <w:p w:rsidR="004502AE" w:rsidRDefault="004502AE" w:rsidP="004502AE">
      <w:pPr>
        <w:spacing w:after="0" w:line="240" w:lineRule="auto"/>
        <w:jc w:val="both"/>
        <w:rPr>
          <w:rFonts w:eastAsia="Times New Roman" w:cs="Times New Roman"/>
          <w:szCs w:val="24"/>
        </w:rPr>
      </w:pPr>
    </w:p>
    <w:p w:rsidR="004502AE" w:rsidRDefault="004502AE" w:rsidP="004502AE">
      <w:pPr>
        <w:spacing w:after="0" w:line="240" w:lineRule="auto"/>
        <w:ind w:left="720"/>
        <w:jc w:val="both"/>
        <w:rPr>
          <w:rFonts w:eastAsia="Times New Roman" w:cs="Times New Roman"/>
          <w:szCs w:val="24"/>
        </w:rPr>
      </w:pPr>
      <w:r>
        <w:rPr>
          <w:rFonts w:eastAsia="Times New Roman" w:cs="Times New Roman"/>
          <w:szCs w:val="24"/>
        </w:rPr>
        <w:t>(b) Provides that a sexual assault under Subsection (a)(1) (relating to providing that a person commits an offense of sexual assault if the person knowingly or intentionally causes certain actions to occur) is without the consent of the other person if:</w:t>
      </w:r>
    </w:p>
    <w:p w:rsidR="004502AE" w:rsidRDefault="004502AE" w:rsidP="004502AE">
      <w:pPr>
        <w:spacing w:after="0" w:line="240" w:lineRule="auto"/>
        <w:ind w:left="720"/>
        <w:jc w:val="both"/>
        <w:rPr>
          <w:rFonts w:eastAsia="Times New Roman" w:cs="Times New Roman"/>
          <w:szCs w:val="24"/>
        </w:rPr>
      </w:pPr>
    </w:p>
    <w:p w:rsidR="004502AE" w:rsidRDefault="004502AE" w:rsidP="004502AE">
      <w:pPr>
        <w:spacing w:after="0" w:line="240" w:lineRule="auto"/>
        <w:ind w:left="1440"/>
        <w:jc w:val="both"/>
        <w:rPr>
          <w:rFonts w:eastAsia="Times New Roman" w:cs="Times New Roman"/>
          <w:szCs w:val="24"/>
        </w:rPr>
      </w:pPr>
      <w:r>
        <w:rPr>
          <w:rFonts w:eastAsia="Times New Roman" w:cs="Times New Roman"/>
          <w:szCs w:val="24"/>
        </w:rPr>
        <w:t xml:space="preserve">(1)-(2) makes no changes to these subdivisions; </w:t>
      </w:r>
    </w:p>
    <w:p w:rsidR="004502AE" w:rsidRDefault="004502AE" w:rsidP="004502AE">
      <w:pPr>
        <w:spacing w:after="0" w:line="240" w:lineRule="auto"/>
        <w:ind w:left="1440"/>
        <w:jc w:val="both"/>
        <w:rPr>
          <w:rFonts w:eastAsia="Times New Roman" w:cs="Times New Roman"/>
          <w:szCs w:val="24"/>
        </w:rPr>
      </w:pPr>
    </w:p>
    <w:p w:rsidR="004502AE" w:rsidRDefault="004502AE" w:rsidP="004502AE">
      <w:pPr>
        <w:spacing w:after="0" w:line="240" w:lineRule="auto"/>
        <w:ind w:left="1440"/>
        <w:jc w:val="both"/>
        <w:rPr>
          <w:rFonts w:eastAsia="Times New Roman" w:cs="Times New Roman"/>
          <w:szCs w:val="24"/>
        </w:rPr>
      </w:pPr>
      <w:r>
        <w:rPr>
          <w:rFonts w:eastAsia="Times New Roman" w:cs="Times New Roman"/>
          <w:szCs w:val="24"/>
        </w:rPr>
        <w:t xml:space="preserve">(3) the actor knows the other person is unconscious, physically unable to resist, or unaware that the sexual assault is occurring, rather than the other person has not consented and the actor knows the other person is unconscious or physically unable to resist; </w:t>
      </w:r>
    </w:p>
    <w:p w:rsidR="004502AE" w:rsidRDefault="004502AE" w:rsidP="004502AE">
      <w:pPr>
        <w:spacing w:after="0" w:line="240" w:lineRule="auto"/>
        <w:ind w:left="1440"/>
        <w:jc w:val="both"/>
        <w:rPr>
          <w:rFonts w:eastAsia="Times New Roman" w:cs="Times New Roman"/>
          <w:szCs w:val="24"/>
        </w:rPr>
      </w:pPr>
    </w:p>
    <w:p w:rsidR="004502AE" w:rsidRDefault="004502AE" w:rsidP="004502AE">
      <w:pPr>
        <w:spacing w:after="0" w:line="240" w:lineRule="auto"/>
        <w:ind w:left="1440"/>
        <w:jc w:val="both"/>
        <w:rPr>
          <w:rFonts w:eastAsia="Times New Roman" w:cs="Times New Roman"/>
          <w:szCs w:val="24"/>
        </w:rPr>
      </w:pPr>
      <w:r>
        <w:rPr>
          <w:rFonts w:eastAsia="Times New Roman" w:cs="Times New Roman"/>
          <w:szCs w:val="24"/>
        </w:rPr>
        <w:t xml:space="preserve">(4) makes no change to this subdivision; </w:t>
      </w:r>
    </w:p>
    <w:p w:rsidR="004502AE" w:rsidRDefault="004502AE" w:rsidP="004502AE">
      <w:pPr>
        <w:spacing w:after="0" w:line="240" w:lineRule="auto"/>
        <w:ind w:left="1440"/>
        <w:jc w:val="both"/>
        <w:rPr>
          <w:rFonts w:eastAsia="Times New Roman" w:cs="Times New Roman"/>
          <w:szCs w:val="24"/>
        </w:rPr>
      </w:pPr>
    </w:p>
    <w:p w:rsidR="004502AE" w:rsidRDefault="004502AE" w:rsidP="004502AE">
      <w:pPr>
        <w:spacing w:after="0" w:line="240" w:lineRule="auto"/>
        <w:ind w:left="1440"/>
        <w:jc w:val="both"/>
        <w:rPr>
          <w:rFonts w:eastAsia="Times New Roman" w:cs="Times New Roman"/>
          <w:szCs w:val="24"/>
        </w:rPr>
      </w:pPr>
      <w:r>
        <w:rPr>
          <w:rFonts w:eastAsia="Times New Roman" w:cs="Times New Roman"/>
          <w:szCs w:val="24"/>
        </w:rPr>
        <w:t xml:space="preserve">(5) </w:t>
      </w:r>
      <w:r w:rsidRPr="004502AE">
        <w:rPr>
          <w:rFonts w:eastAsia="Times New Roman" w:cs="Times New Roman"/>
          <w:szCs w:val="24"/>
        </w:rPr>
        <w:t>the actor knows the other person has withdrawn consent to the act and the actor persists in the act</w:t>
      </w:r>
      <w:r>
        <w:rPr>
          <w:rFonts w:eastAsia="Times New Roman" w:cs="Times New Roman"/>
          <w:szCs w:val="24"/>
        </w:rPr>
        <w:t xml:space="preserve">, rather than </w:t>
      </w:r>
      <w:r w:rsidRPr="004502AE">
        <w:rPr>
          <w:rFonts w:eastAsia="Times New Roman" w:cs="Times New Roman"/>
          <w:szCs w:val="24"/>
        </w:rPr>
        <w:t>the other person has not consented and the actor knows the other person is unaware that the sexual assault is occurring;</w:t>
      </w:r>
    </w:p>
    <w:p w:rsidR="004502AE" w:rsidRDefault="004502AE" w:rsidP="004502AE">
      <w:pPr>
        <w:spacing w:after="0" w:line="240" w:lineRule="auto"/>
        <w:ind w:left="1440"/>
        <w:jc w:val="both"/>
        <w:rPr>
          <w:rFonts w:eastAsia="Times New Roman" w:cs="Times New Roman"/>
          <w:szCs w:val="24"/>
        </w:rPr>
      </w:pPr>
    </w:p>
    <w:p w:rsidR="004502AE" w:rsidRDefault="004502AE" w:rsidP="004502AE">
      <w:pPr>
        <w:spacing w:after="0" w:line="240" w:lineRule="auto"/>
        <w:ind w:left="1440"/>
        <w:jc w:val="both"/>
        <w:rPr>
          <w:rFonts w:eastAsia="Times New Roman" w:cs="Times New Roman"/>
          <w:szCs w:val="24"/>
        </w:rPr>
      </w:pPr>
      <w:r>
        <w:rPr>
          <w:rFonts w:eastAsia="Times New Roman" w:cs="Times New Roman"/>
          <w:szCs w:val="24"/>
        </w:rPr>
        <w:t xml:space="preserve">(6) </w:t>
      </w:r>
      <w:r w:rsidRPr="004502AE">
        <w:rPr>
          <w:rFonts w:eastAsia="Times New Roman" w:cs="Times New Roman"/>
          <w:szCs w:val="24"/>
        </w:rPr>
        <w:t>the actor knows or reasonably should know that the other person cannot consent because of intoxication or impairment by any substance</w:t>
      </w:r>
      <w:r>
        <w:rPr>
          <w:rFonts w:eastAsia="Times New Roman" w:cs="Times New Roman"/>
          <w:szCs w:val="24"/>
        </w:rPr>
        <w:t xml:space="preserve">, rather than </w:t>
      </w:r>
      <w:r w:rsidRPr="004502AE">
        <w:rPr>
          <w:rFonts w:eastAsia="Times New Roman" w:cs="Times New Roman"/>
          <w:szCs w:val="24"/>
        </w:rPr>
        <w:t>the actor has intentionally impaired the other person's power to appraise or control the other person's conduct by administering any substance without the other person's knowledge;</w:t>
      </w:r>
      <w:r>
        <w:rPr>
          <w:rFonts w:eastAsia="Times New Roman" w:cs="Times New Roman"/>
          <w:szCs w:val="24"/>
        </w:rPr>
        <w:t xml:space="preserve"> or</w:t>
      </w:r>
    </w:p>
    <w:p w:rsidR="004502AE" w:rsidRDefault="004502AE" w:rsidP="004502AE">
      <w:pPr>
        <w:spacing w:after="0" w:line="240" w:lineRule="auto"/>
        <w:ind w:left="1440"/>
        <w:jc w:val="both"/>
        <w:rPr>
          <w:rFonts w:eastAsia="Times New Roman" w:cs="Times New Roman"/>
          <w:szCs w:val="24"/>
        </w:rPr>
      </w:pPr>
    </w:p>
    <w:p w:rsidR="004502AE" w:rsidRPr="005C2A78" w:rsidRDefault="004502AE" w:rsidP="004502AE">
      <w:pPr>
        <w:spacing w:after="0" w:line="240" w:lineRule="auto"/>
        <w:ind w:left="1440"/>
        <w:jc w:val="both"/>
        <w:rPr>
          <w:rFonts w:eastAsia="Times New Roman" w:cs="Times New Roman"/>
          <w:szCs w:val="24"/>
        </w:rPr>
      </w:pPr>
      <w:r>
        <w:rPr>
          <w:rFonts w:eastAsia="Times New Roman" w:cs="Times New Roman"/>
          <w:szCs w:val="24"/>
        </w:rPr>
        <w:t xml:space="preserve">(7)-(14) makes no changes to these subdivisions. </w:t>
      </w:r>
    </w:p>
    <w:p w:rsidR="00C43D01" w:rsidRPr="005C2A78" w:rsidRDefault="00C43D01" w:rsidP="004502AE">
      <w:pPr>
        <w:spacing w:after="0" w:line="240" w:lineRule="auto"/>
        <w:jc w:val="both"/>
        <w:rPr>
          <w:rFonts w:eastAsia="Times New Roman" w:cs="Times New Roman"/>
          <w:szCs w:val="24"/>
        </w:rPr>
      </w:pPr>
    </w:p>
    <w:p w:rsidR="00986E9F" w:rsidRDefault="00C43D01" w:rsidP="004502AE">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4502AE">
        <w:rPr>
          <w:rFonts w:eastAsia="Times New Roman" w:cs="Times New Roman"/>
          <w:szCs w:val="24"/>
        </w:rPr>
        <w:t>Amends Section 22.011(c), Penal Code, by adding Subdivision (1-a) to define "consent."</w:t>
      </w:r>
    </w:p>
    <w:p w:rsidR="004502AE" w:rsidRDefault="004502AE" w:rsidP="004502AE">
      <w:pPr>
        <w:spacing w:after="0" w:line="240" w:lineRule="auto"/>
        <w:jc w:val="both"/>
        <w:rPr>
          <w:rFonts w:eastAsia="Times New Roman" w:cs="Times New Roman"/>
          <w:szCs w:val="24"/>
        </w:rPr>
      </w:pPr>
    </w:p>
    <w:p w:rsidR="004502AE" w:rsidRDefault="004502AE" w:rsidP="004502AE">
      <w:pPr>
        <w:spacing w:after="0" w:line="240" w:lineRule="auto"/>
        <w:jc w:val="both"/>
        <w:rPr>
          <w:rFonts w:eastAsia="Times New Roman" w:cs="Times New Roman"/>
          <w:szCs w:val="24"/>
        </w:rPr>
      </w:pPr>
      <w:r>
        <w:rPr>
          <w:rFonts w:eastAsia="Times New Roman" w:cs="Times New Roman"/>
          <w:szCs w:val="24"/>
        </w:rPr>
        <w:t xml:space="preserve">SECTION 4. Makes application of this Act prospective. </w:t>
      </w:r>
    </w:p>
    <w:p w:rsidR="004502AE" w:rsidRDefault="004502AE" w:rsidP="004502AE">
      <w:pPr>
        <w:spacing w:after="0" w:line="240" w:lineRule="auto"/>
        <w:jc w:val="both"/>
        <w:rPr>
          <w:rFonts w:eastAsia="Times New Roman" w:cs="Times New Roman"/>
          <w:szCs w:val="24"/>
        </w:rPr>
      </w:pPr>
    </w:p>
    <w:p w:rsidR="004502AE" w:rsidRPr="00C8671F" w:rsidRDefault="004502AE" w:rsidP="004502AE">
      <w:pPr>
        <w:spacing w:after="0" w:line="240" w:lineRule="auto"/>
        <w:jc w:val="both"/>
        <w:rPr>
          <w:rFonts w:eastAsia="Times New Roman" w:cs="Times New Roman"/>
          <w:szCs w:val="24"/>
        </w:rPr>
      </w:pPr>
      <w:r>
        <w:rPr>
          <w:rFonts w:eastAsia="Times New Roman" w:cs="Times New Roman"/>
          <w:szCs w:val="24"/>
        </w:rPr>
        <w:t xml:space="preserve">SECTION 5. Effective date: September 1, 2025. </w:t>
      </w:r>
    </w:p>
    <w:sectPr w:rsidR="004502A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15A7" w:rsidRDefault="00C715A7" w:rsidP="000F1DF9">
      <w:pPr>
        <w:spacing w:after="0" w:line="240" w:lineRule="auto"/>
      </w:pPr>
      <w:r>
        <w:separator/>
      </w:r>
    </w:p>
  </w:endnote>
  <w:endnote w:type="continuationSeparator" w:id="0">
    <w:p w:rsidR="00C715A7" w:rsidRDefault="00C715A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715A7"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502AE">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4502AE">
                <w:rPr>
                  <w:sz w:val="20"/>
                  <w:szCs w:val="20"/>
                </w:rPr>
                <w:t>H.B. 3073</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4502AE">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715A7"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15A7" w:rsidRDefault="00C715A7" w:rsidP="000F1DF9">
      <w:pPr>
        <w:spacing w:after="0" w:line="240" w:lineRule="auto"/>
      </w:pPr>
      <w:r>
        <w:separator/>
      </w:r>
    </w:p>
  </w:footnote>
  <w:footnote w:type="continuationSeparator" w:id="0">
    <w:p w:rsidR="00C715A7" w:rsidRDefault="00C715A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02AE"/>
    <w:rsid w:val="0045110C"/>
    <w:rsid w:val="00503AD0"/>
    <w:rsid w:val="005320AA"/>
    <w:rsid w:val="00544B9F"/>
    <w:rsid w:val="00585C31"/>
    <w:rsid w:val="005A7918"/>
    <w:rsid w:val="005E0AC7"/>
    <w:rsid w:val="005F46D7"/>
    <w:rsid w:val="00605CA0"/>
    <w:rsid w:val="006529C4"/>
    <w:rsid w:val="00684283"/>
    <w:rsid w:val="006D756B"/>
    <w:rsid w:val="00774EC7"/>
    <w:rsid w:val="00833061"/>
    <w:rsid w:val="008A6859"/>
    <w:rsid w:val="0093341F"/>
    <w:rsid w:val="009562E3"/>
    <w:rsid w:val="00986E9F"/>
    <w:rsid w:val="00A57FB1"/>
    <w:rsid w:val="00AE3F44"/>
    <w:rsid w:val="00B43543"/>
    <w:rsid w:val="00B53F07"/>
    <w:rsid w:val="00B97023"/>
    <w:rsid w:val="00BC7495"/>
    <w:rsid w:val="00BD0CEE"/>
    <w:rsid w:val="00BE4852"/>
    <w:rsid w:val="00C04606"/>
    <w:rsid w:val="00C10A08"/>
    <w:rsid w:val="00C43D01"/>
    <w:rsid w:val="00C65088"/>
    <w:rsid w:val="00C715A7"/>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44EF"/>
  <w15:docId w15:val="{17F65D60-F5C6-4C19-A2F6-04501A4F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502A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84283"/>
    <w:rsid w:val="006959CC"/>
    <w:rsid w:val="00696675"/>
    <w:rsid w:val="006B0016"/>
    <w:rsid w:val="008A6DCE"/>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5700</TotalTime>
  <Pages>1</Pages>
  <Words>513</Words>
  <Characters>2925</Characters>
  <Application>Microsoft Office Word</Application>
  <DocSecurity>0</DocSecurity>
  <Lines>24</Lines>
  <Paragraphs>6</Paragraphs>
  <ScaleCrop>false</ScaleCrop>
  <Company>Texas Legislative Council</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2025-05-21T23:16:00Z</cp:lastPrinted>
  <dcterms:created xsi:type="dcterms:W3CDTF">2015-05-29T14:24:00Z</dcterms:created>
  <dcterms:modified xsi:type="dcterms:W3CDTF">2025-05-21T23:16:00Z</dcterms:modified>
</cp:coreProperties>
</file>

<file path=docProps/custom.xml><?xml version="1.0" encoding="utf-8"?>
<op:Properties xmlns:vt="http://schemas.openxmlformats.org/officeDocument/2006/docPropsVTypes" xmlns:op="http://schemas.openxmlformats.org/officeDocument/2006/custom-properties"/>
</file>