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6531" w:rsidRDefault="0023653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20DBDEB94CA446CBEE79C1CC8B762E7"/>
          </w:placeholder>
        </w:sdtPr>
        <w:sdtContent>
          <w:r w:rsidRPr="005C2A78">
            <w:rPr>
              <w:rFonts w:cs="Times New Roman"/>
              <w:b/>
              <w:szCs w:val="24"/>
              <w:u w:val="single"/>
            </w:rPr>
            <w:t>BILL ANALYSIS</w:t>
          </w:r>
        </w:sdtContent>
      </w:sdt>
    </w:p>
    <w:p w:rsidR="00236531" w:rsidRPr="00585C31" w:rsidRDefault="00236531" w:rsidP="000F1DF9">
      <w:pPr>
        <w:spacing w:after="0" w:line="240" w:lineRule="auto"/>
        <w:rPr>
          <w:rFonts w:cs="Times New Roman"/>
          <w:szCs w:val="24"/>
        </w:rPr>
      </w:pPr>
    </w:p>
    <w:p w:rsidR="00236531" w:rsidRPr="00585C31" w:rsidRDefault="0023653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36531" w:rsidTr="000F1DF9">
        <w:tc>
          <w:tcPr>
            <w:tcW w:w="2718" w:type="dxa"/>
          </w:tcPr>
          <w:p w:rsidR="00236531" w:rsidRPr="005C2A78" w:rsidRDefault="00236531" w:rsidP="006D756B">
            <w:pPr>
              <w:rPr>
                <w:rFonts w:cs="Times New Roman"/>
                <w:szCs w:val="24"/>
              </w:rPr>
            </w:pPr>
            <w:sdt>
              <w:sdtPr>
                <w:rPr>
                  <w:rFonts w:cs="Times New Roman"/>
                  <w:szCs w:val="24"/>
                </w:rPr>
                <w:alias w:val="Agency Title"/>
                <w:tag w:val="AgencyTitleContentControl"/>
                <w:id w:val="1920747753"/>
                <w:lock w:val="sdtContentLocked"/>
                <w:placeholder>
                  <w:docPart w:val="EBC0AE9539DC4CE299FC3CB80E070988"/>
                </w:placeholder>
              </w:sdtPr>
              <w:sdtEndPr>
                <w:rPr>
                  <w:rFonts w:cstheme="minorBidi"/>
                  <w:szCs w:val="22"/>
                </w:rPr>
              </w:sdtEndPr>
              <w:sdtContent>
                <w:r>
                  <w:rPr>
                    <w:rFonts w:cs="Times New Roman"/>
                    <w:szCs w:val="24"/>
                  </w:rPr>
                  <w:t>Senate Research Center</w:t>
                </w:r>
              </w:sdtContent>
            </w:sdt>
          </w:p>
        </w:tc>
        <w:tc>
          <w:tcPr>
            <w:tcW w:w="6858" w:type="dxa"/>
          </w:tcPr>
          <w:p w:rsidR="00236531" w:rsidRPr="00FF6471" w:rsidRDefault="00236531" w:rsidP="000F1DF9">
            <w:pPr>
              <w:jc w:val="right"/>
              <w:rPr>
                <w:rFonts w:cs="Times New Roman"/>
                <w:szCs w:val="24"/>
              </w:rPr>
            </w:pPr>
            <w:sdt>
              <w:sdtPr>
                <w:rPr>
                  <w:rFonts w:cs="Times New Roman"/>
                  <w:szCs w:val="24"/>
                </w:rPr>
                <w:alias w:val="Bill Number"/>
                <w:tag w:val="BillNumberOne"/>
                <w:id w:val="-410784069"/>
                <w:lock w:val="sdtContentLocked"/>
                <w:placeholder>
                  <w:docPart w:val="9B5EF56DED79416583EB86E2AA3CB0FA"/>
                </w:placeholder>
              </w:sdtPr>
              <w:sdtContent>
                <w:r>
                  <w:rPr>
                    <w:rFonts w:cs="Times New Roman"/>
                    <w:szCs w:val="24"/>
                  </w:rPr>
                  <w:t>C.S.H.B. 3073</w:t>
                </w:r>
              </w:sdtContent>
            </w:sdt>
          </w:p>
        </w:tc>
      </w:tr>
      <w:tr w:rsidR="00236531" w:rsidTr="000F1DF9">
        <w:sdt>
          <w:sdtPr>
            <w:rPr>
              <w:rFonts w:cs="Times New Roman"/>
              <w:szCs w:val="24"/>
            </w:rPr>
            <w:alias w:val="TLCNumber"/>
            <w:tag w:val="TLCNumber"/>
            <w:id w:val="-542600604"/>
            <w:lock w:val="sdtLocked"/>
            <w:placeholder>
              <w:docPart w:val="2E9A5A4C5D3845E586E8D0265D0AE7AD"/>
            </w:placeholder>
          </w:sdtPr>
          <w:sdtContent>
            <w:tc>
              <w:tcPr>
                <w:tcW w:w="2718" w:type="dxa"/>
              </w:tcPr>
              <w:p w:rsidR="00236531" w:rsidRPr="000F1DF9" w:rsidRDefault="00236531" w:rsidP="00C65088">
                <w:pPr>
                  <w:rPr>
                    <w:rFonts w:cs="Times New Roman"/>
                    <w:szCs w:val="24"/>
                  </w:rPr>
                </w:pPr>
                <w:r>
                  <w:rPr>
                    <w:rFonts w:cs="Times New Roman"/>
                    <w:szCs w:val="24"/>
                  </w:rPr>
                  <w:t>89R33791 MZM-D</w:t>
                </w:r>
              </w:p>
            </w:tc>
          </w:sdtContent>
        </w:sdt>
        <w:tc>
          <w:tcPr>
            <w:tcW w:w="6858" w:type="dxa"/>
          </w:tcPr>
          <w:p w:rsidR="00236531" w:rsidRPr="005C2A78" w:rsidRDefault="00236531" w:rsidP="00073EDD">
            <w:pPr>
              <w:jc w:val="right"/>
              <w:rPr>
                <w:rFonts w:cs="Times New Roman"/>
                <w:szCs w:val="24"/>
              </w:rPr>
            </w:pPr>
            <w:sdt>
              <w:sdtPr>
                <w:rPr>
                  <w:rFonts w:cs="Times New Roman"/>
                  <w:szCs w:val="24"/>
                </w:rPr>
                <w:alias w:val="Author Label"/>
                <w:tag w:val="By"/>
                <w:id w:val="72399597"/>
                <w:lock w:val="sdtLocked"/>
                <w:placeholder>
                  <w:docPart w:val="4FFA2E548A2A4A528983373923BB09D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FE81D39544743B78609622A8BEA54B8"/>
                </w:placeholder>
              </w:sdtPr>
              <w:sdtContent>
                <w:r>
                  <w:rPr>
                    <w:rFonts w:cs="Times New Roman"/>
                    <w:szCs w:val="24"/>
                  </w:rPr>
                  <w:t>Howard et al.</w:t>
                </w:r>
              </w:sdtContent>
            </w:sdt>
            <w:sdt>
              <w:sdtPr>
                <w:rPr>
                  <w:rFonts w:cs="Times New Roman"/>
                  <w:szCs w:val="24"/>
                </w:rPr>
                <w:alias w:val="Sponsor"/>
                <w:tag w:val="Sponsor"/>
                <w:id w:val="-2039656131"/>
                <w:lock w:val="sdtContentLocked"/>
                <w:placeholder>
                  <w:docPart w:val="E8608D7DE8CB45E8867E74E5E6650353"/>
                </w:placeholder>
              </w:sdtPr>
              <w:sdtContent>
                <w:r>
                  <w:rPr>
                    <w:rFonts w:cs="Times New Roman"/>
                    <w:szCs w:val="24"/>
                  </w:rPr>
                  <w:t xml:space="preserve"> (Paxton)</w:t>
                </w:r>
              </w:sdtContent>
            </w:sdt>
            <w:sdt>
              <w:sdtPr>
                <w:rPr>
                  <w:rFonts w:cs="Times New Roman"/>
                  <w:szCs w:val="24"/>
                </w:rPr>
                <w:alias w:val="DualSponsor"/>
                <w:tag w:val="DualSponsor"/>
                <w:id w:val="1029379812"/>
                <w:lock w:val="sdtContentLocked"/>
                <w:placeholder>
                  <w:docPart w:val="5626147C22684F698F9C60848BE3A5FA"/>
                </w:placeholder>
                <w:showingPlcHdr/>
              </w:sdtPr>
              <w:sdtContent/>
            </w:sdt>
          </w:p>
        </w:tc>
      </w:tr>
      <w:tr w:rsidR="00236531" w:rsidTr="000F1DF9">
        <w:tc>
          <w:tcPr>
            <w:tcW w:w="2718" w:type="dxa"/>
          </w:tcPr>
          <w:p w:rsidR="00236531" w:rsidRPr="00BC7495" w:rsidRDefault="00236531" w:rsidP="000F1DF9">
            <w:pPr>
              <w:rPr>
                <w:rFonts w:cs="Times New Roman"/>
                <w:szCs w:val="24"/>
              </w:rPr>
            </w:pPr>
          </w:p>
        </w:tc>
        <w:sdt>
          <w:sdtPr>
            <w:rPr>
              <w:rFonts w:cs="Times New Roman"/>
              <w:szCs w:val="24"/>
            </w:rPr>
            <w:alias w:val="Committee"/>
            <w:tag w:val="Committee"/>
            <w:id w:val="1914272295"/>
            <w:lock w:val="sdtContentLocked"/>
            <w:placeholder>
              <w:docPart w:val="8828545F20ED4D90BB6F54DCEFF6A779"/>
            </w:placeholder>
          </w:sdtPr>
          <w:sdtContent>
            <w:tc>
              <w:tcPr>
                <w:tcW w:w="6858" w:type="dxa"/>
              </w:tcPr>
              <w:p w:rsidR="00236531" w:rsidRPr="00FF6471" w:rsidRDefault="00236531" w:rsidP="000F1DF9">
                <w:pPr>
                  <w:jc w:val="right"/>
                  <w:rPr>
                    <w:rFonts w:cs="Times New Roman"/>
                    <w:szCs w:val="24"/>
                  </w:rPr>
                </w:pPr>
                <w:r>
                  <w:rPr>
                    <w:rFonts w:cs="Times New Roman"/>
                    <w:szCs w:val="24"/>
                  </w:rPr>
                  <w:t>Criminal Justice</w:t>
                </w:r>
              </w:p>
            </w:tc>
          </w:sdtContent>
        </w:sdt>
      </w:tr>
      <w:tr w:rsidR="00236531" w:rsidTr="000F1DF9">
        <w:tc>
          <w:tcPr>
            <w:tcW w:w="2718" w:type="dxa"/>
          </w:tcPr>
          <w:p w:rsidR="00236531" w:rsidRPr="00BC7495" w:rsidRDefault="00236531" w:rsidP="000F1DF9">
            <w:pPr>
              <w:rPr>
                <w:rFonts w:cs="Times New Roman"/>
                <w:szCs w:val="24"/>
              </w:rPr>
            </w:pPr>
          </w:p>
        </w:tc>
        <w:sdt>
          <w:sdtPr>
            <w:rPr>
              <w:rFonts w:cs="Times New Roman"/>
              <w:szCs w:val="24"/>
            </w:rPr>
            <w:alias w:val="Date"/>
            <w:tag w:val="DateContentControl"/>
            <w:id w:val="1178081906"/>
            <w:lock w:val="sdtLocked"/>
            <w:placeholder>
              <w:docPart w:val="79F9E8C81162417890BFE9FB2452464A"/>
            </w:placeholder>
            <w:date w:fullDate="2025-05-26T00:00:00Z">
              <w:dateFormat w:val="M/d/yyyy"/>
              <w:lid w:val="en-US"/>
              <w:storeMappedDataAs w:val="dateTime"/>
              <w:calendar w:val="gregorian"/>
            </w:date>
          </w:sdtPr>
          <w:sdtContent>
            <w:tc>
              <w:tcPr>
                <w:tcW w:w="6858" w:type="dxa"/>
              </w:tcPr>
              <w:p w:rsidR="00236531" w:rsidRPr="00FF6471" w:rsidRDefault="00236531" w:rsidP="000F1DF9">
                <w:pPr>
                  <w:jc w:val="right"/>
                  <w:rPr>
                    <w:rFonts w:cs="Times New Roman"/>
                    <w:szCs w:val="24"/>
                  </w:rPr>
                </w:pPr>
                <w:r>
                  <w:rPr>
                    <w:rFonts w:cs="Times New Roman"/>
                    <w:szCs w:val="24"/>
                  </w:rPr>
                  <w:t>5/26/2025</w:t>
                </w:r>
              </w:p>
            </w:tc>
          </w:sdtContent>
        </w:sdt>
      </w:tr>
      <w:tr w:rsidR="00236531" w:rsidTr="000F1DF9">
        <w:tc>
          <w:tcPr>
            <w:tcW w:w="2718" w:type="dxa"/>
          </w:tcPr>
          <w:p w:rsidR="00236531" w:rsidRPr="00BC7495" w:rsidRDefault="00236531" w:rsidP="000F1DF9">
            <w:pPr>
              <w:rPr>
                <w:rFonts w:cs="Times New Roman"/>
                <w:szCs w:val="24"/>
              </w:rPr>
            </w:pPr>
          </w:p>
        </w:tc>
        <w:sdt>
          <w:sdtPr>
            <w:rPr>
              <w:rFonts w:cs="Times New Roman"/>
              <w:szCs w:val="24"/>
            </w:rPr>
            <w:alias w:val="BA Version"/>
            <w:tag w:val="BAVersion"/>
            <w:id w:val="-1685590809"/>
            <w:lock w:val="sdtContentLocked"/>
            <w:placeholder>
              <w:docPart w:val="41D85EF6589C42F9AFA7F95EBE6CEC71"/>
            </w:placeholder>
          </w:sdtPr>
          <w:sdtContent>
            <w:tc>
              <w:tcPr>
                <w:tcW w:w="6858" w:type="dxa"/>
              </w:tcPr>
              <w:p w:rsidR="00236531" w:rsidRPr="00FF6471" w:rsidRDefault="00236531" w:rsidP="000F1DF9">
                <w:pPr>
                  <w:jc w:val="right"/>
                  <w:rPr>
                    <w:rFonts w:cs="Times New Roman"/>
                    <w:szCs w:val="24"/>
                  </w:rPr>
                </w:pPr>
                <w:r>
                  <w:rPr>
                    <w:rFonts w:cs="Times New Roman"/>
                    <w:szCs w:val="24"/>
                  </w:rPr>
                  <w:t>Committee Report (Substituted)</w:t>
                </w:r>
              </w:p>
            </w:tc>
          </w:sdtContent>
        </w:sdt>
      </w:tr>
    </w:tbl>
    <w:p w:rsidR="00236531" w:rsidRPr="00FF6471" w:rsidRDefault="00236531" w:rsidP="000F1DF9">
      <w:pPr>
        <w:spacing w:after="0" w:line="240" w:lineRule="auto"/>
        <w:rPr>
          <w:rFonts w:cs="Times New Roman"/>
          <w:szCs w:val="24"/>
        </w:rPr>
      </w:pPr>
    </w:p>
    <w:p w:rsidR="00236531" w:rsidRPr="00FF6471" w:rsidRDefault="00236531" w:rsidP="000F1DF9">
      <w:pPr>
        <w:spacing w:after="0" w:line="240" w:lineRule="auto"/>
        <w:rPr>
          <w:rFonts w:cs="Times New Roman"/>
          <w:szCs w:val="24"/>
        </w:rPr>
      </w:pPr>
    </w:p>
    <w:p w:rsidR="00236531" w:rsidRPr="00FF6471" w:rsidRDefault="0023653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1E68915E797417EB944C1F2C85C6826"/>
        </w:placeholder>
      </w:sdtPr>
      <w:sdtContent>
        <w:p w:rsidR="00236531" w:rsidRDefault="0023653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14C442257B4432FA59A6C5F1C2C4288"/>
        </w:placeholder>
      </w:sdtPr>
      <w:sdtEndPr/>
      <w:sdtContent>
        <w:p w:rsidR="00236531" w:rsidRDefault="00236531" w:rsidP="00236531">
          <w:pPr>
            <w:pStyle w:val="NormalWeb"/>
            <w:spacing w:before="0" w:beforeAutospacing="0" w:after="0" w:afterAutospacing="0"/>
            <w:jc w:val="both"/>
            <w:divId w:val="150101477"/>
            <w:rPr>
              <w:rFonts w:eastAsia="Times New Roman" w:cstheme="minorBidi"/>
              <w:bCs/>
              <w:szCs w:val="22"/>
            </w:rPr>
          </w:pPr>
        </w:p>
        <w:p w:rsidR="00236531" w:rsidRDefault="00236531" w:rsidP="00236531">
          <w:pPr>
            <w:pStyle w:val="NormalWeb"/>
            <w:spacing w:before="0" w:beforeAutospacing="0" w:after="0" w:afterAutospacing="0"/>
            <w:jc w:val="both"/>
            <w:divId w:val="150101477"/>
            <w:rPr>
              <w:color w:val="000000"/>
            </w:rPr>
          </w:pPr>
          <w:r>
            <w:rPr>
              <w:color w:val="000000"/>
            </w:rPr>
            <w:t>H.B.</w:t>
          </w:r>
          <w:r w:rsidRPr="00236531">
            <w:rPr>
              <w:color w:val="000000"/>
            </w:rPr>
            <w:t xml:space="preserve"> 3073 reflects a key recommendation from the Sexual Assault Survivors</w:t>
          </w:r>
          <w:r>
            <w:rPr>
              <w:color w:val="000000"/>
            </w:rPr>
            <w:t>'</w:t>
          </w:r>
          <w:r w:rsidRPr="00236531">
            <w:rPr>
              <w:color w:val="000000"/>
            </w:rPr>
            <w:t xml:space="preserve"> Task Force (SASTF) in the Office of the Governor, which was created by the 86th Legislature to establish a survivor-centered, collaborative, and coordinated response to sexual violence in Texas. </w:t>
          </w:r>
        </w:p>
        <w:p w:rsidR="00236531" w:rsidRPr="00236531" w:rsidRDefault="00236531" w:rsidP="00236531">
          <w:pPr>
            <w:pStyle w:val="NormalWeb"/>
            <w:spacing w:before="0" w:beforeAutospacing="0" w:after="0" w:afterAutospacing="0"/>
            <w:jc w:val="both"/>
            <w:divId w:val="150101477"/>
            <w:rPr>
              <w:color w:val="000000"/>
            </w:rPr>
          </w:pPr>
        </w:p>
        <w:p w:rsidR="00236531" w:rsidRDefault="00236531" w:rsidP="00236531">
          <w:pPr>
            <w:pStyle w:val="NormalWeb"/>
            <w:spacing w:before="0" w:beforeAutospacing="0" w:after="0" w:afterAutospacing="0"/>
            <w:jc w:val="both"/>
            <w:divId w:val="150101477"/>
            <w:rPr>
              <w:color w:val="000000"/>
            </w:rPr>
          </w:pPr>
          <w:r>
            <w:rPr>
              <w:color w:val="000000"/>
            </w:rPr>
            <w:t>H.B.</w:t>
          </w:r>
          <w:r w:rsidRPr="00236531">
            <w:rPr>
              <w:color w:val="000000"/>
            </w:rPr>
            <w:t xml:space="preserve"> 3073 closes gaps in the statutory definition of </w:t>
          </w:r>
          <w:r>
            <w:rPr>
              <w:color w:val="000000"/>
            </w:rPr>
            <w:t>"</w:t>
          </w:r>
          <w:r w:rsidRPr="00236531">
            <w:rPr>
              <w:color w:val="000000"/>
            </w:rPr>
            <w:t>consent</w:t>
          </w:r>
          <w:r>
            <w:rPr>
              <w:color w:val="000000"/>
            </w:rPr>
            <w:t>"</w:t>
          </w:r>
          <w:r w:rsidRPr="00236531">
            <w:rPr>
              <w:color w:val="000000"/>
            </w:rPr>
            <w:t xml:space="preserve"> as it pertains to sexual assault to help prosecutors hold perpetrators of sexual violence accountable and provides clear protections for survivors in circumstances not explicitly covered by current Texas law.</w:t>
          </w:r>
        </w:p>
        <w:p w:rsidR="00236531" w:rsidRPr="00236531" w:rsidRDefault="00236531" w:rsidP="00236531">
          <w:pPr>
            <w:pStyle w:val="NormalWeb"/>
            <w:spacing w:before="0" w:beforeAutospacing="0" w:after="0" w:afterAutospacing="0"/>
            <w:jc w:val="both"/>
            <w:divId w:val="150101477"/>
            <w:rPr>
              <w:color w:val="000000"/>
            </w:rPr>
          </w:pPr>
        </w:p>
        <w:p w:rsidR="00236531" w:rsidRDefault="00236531" w:rsidP="00236531">
          <w:pPr>
            <w:pStyle w:val="NormalWeb"/>
            <w:spacing w:before="0" w:beforeAutospacing="0" w:after="0" w:afterAutospacing="0"/>
            <w:jc w:val="both"/>
            <w:divId w:val="150101477"/>
            <w:rPr>
              <w:color w:val="000000"/>
            </w:rPr>
          </w:pPr>
          <w:r w:rsidRPr="00236531">
            <w:rPr>
              <w:color w:val="000000"/>
            </w:rPr>
            <w:t>The sexual assault statute (Sec</w:t>
          </w:r>
          <w:r>
            <w:rPr>
              <w:color w:val="000000"/>
            </w:rPr>
            <w:t>tion</w:t>
          </w:r>
          <w:r w:rsidRPr="00236531">
            <w:rPr>
              <w:color w:val="000000"/>
            </w:rPr>
            <w:t xml:space="preserve"> 22.011, Penal Code) does not currently provide a clear definition of consent, nor does it consider or even address the most common victim responses to a sexual assault. The current statutory definition contains a long list of what is </w:t>
          </w:r>
          <w:r>
            <w:rPr>
              <w:color w:val="000000"/>
            </w:rPr>
            <w:t>not</w:t>
          </w:r>
          <w:r w:rsidRPr="00236531">
            <w:rPr>
              <w:color w:val="000000"/>
            </w:rPr>
            <w:t xml:space="preserve"> considered consent with regard to sexual violence, but fails to specify how consent is to be communicated or understood.</w:t>
          </w:r>
        </w:p>
        <w:p w:rsidR="00236531" w:rsidRPr="00236531" w:rsidRDefault="00236531" w:rsidP="00236531">
          <w:pPr>
            <w:pStyle w:val="NormalWeb"/>
            <w:spacing w:before="0" w:beforeAutospacing="0" w:after="0" w:afterAutospacing="0"/>
            <w:jc w:val="both"/>
            <w:divId w:val="150101477"/>
            <w:rPr>
              <w:color w:val="000000"/>
            </w:rPr>
          </w:pPr>
        </w:p>
        <w:p w:rsidR="00236531" w:rsidRDefault="00236531" w:rsidP="00236531">
          <w:pPr>
            <w:pStyle w:val="NormalWeb"/>
            <w:spacing w:before="0" w:beforeAutospacing="0" w:after="0" w:afterAutospacing="0"/>
            <w:jc w:val="both"/>
            <w:divId w:val="150101477"/>
            <w:rPr>
              <w:color w:val="000000"/>
            </w:rPr>
          </w:pPr>
          <w:r w:rsidRPr="00236531">
            <w:rPr>
              <w:color w:val="000000"/>
            </w:rPr>
            <w:t>Providing an affirmative definition of consent shifts the burden to the defendant to prove that they got consent, rather than the burden being on the survivor to prove that they did not consent.</w:t>
          </w:r>
        </w:p>
        <w:p w:rsidR="00236531" w:rsidRPr="00236531" w:rsidRDefault="00236531" w:rsidP="00236531">
          <w:pPr>
            <w:pStyle w:val="NormalWeb"/>
            <w:spacing w:before="0" w:beforeAutospacing="0" w:after="0" w:afterAutospacing="0"/>
            <w:jc w:val="both"/>
            <w:divId w:val="150101477"/>
            <w:rPr>
              <w:color w:val="000000"/>
            </w:rPr>
          </w:pPr>
        </w:p>
        <w:p w:rsidR="00236531" w:rsidRPr="00236531" w:rsidRDefault="00236531" w:rsidP="00236531">
          <w:pPr>
            <w:pStyle w:val="NormalWeb"/>
            <w:spacing w:before="0" w:beforeAutospacing="0" w:after="0" w:afterAutospacing="0"/>
            <w:jc w:val="both"/>
            <w:divId w:val="150101477"/>
            <w:rPr>
              <w:color w:val="000000"/>
            </w:rPr>
          </w:pPr>
          <w:r w:rsidRPr="00236531">
            <w:rPr>
              <w:color w:val="000000"/>
            </w:rPr>
            <w:t xml:space="preserve">Bill Analysis: </w:t>
          </w:r>
        </w:p>
        <w:p w:rsidR="00236531" w:rsidRDefault="00236531" w:rsidP="00236531">
          <w:pPr>
            <w:pStyle w:val="NormalWeb"/>
            <w:numPr>
              <w:ilvl w:val="0"/>
              <w:numId w:val="1"/>
            </w:numPr>
            <w:spacing w:before="0" w:beforeAutospacing="0" w:after="0" w:afterAutospacing="0"/>
            <w:jc w:val="both"/>
            <w:divId w:val="150101477"/>
            <w:rPr>
              <w:color w:val="000000"/>
            </w:rPr>
          </w:pPr>
          <w:r w:rsidRPr="00236531">
            <w:rPr>
              <w:color w:val="000000"/>
            </w:rPr>
            <w:t>Amends Section 22.011(b), Penal Code</w:t>
          </w:r>
          <w:r>
            <w:rPr>
              <w:color w:val="000000"/>
            </w:rPr>
            <w:t>.</w:t>
          </w:r>
        </w:p>
        <w:p w:rsidR="00236531" w:rsidRDefault="00236531" w:rsidP="00236531">
          <w:pPr>
            <w:pStyle w:val="NormalWeb"/>
            <w:numPr>
              <w:ilvl w:val="0"/>
              <w:numId w:val="1"/>
            </w:numPr>
            <w:spacing w:before="0" w:beforeAutospacing="0" w:after="0" w:afterAutospacing="0"/>
            <w:jc w:val="both"/>
            <w:divId w:val="150101477"/>
            <w:rPr>
              <w:color w:val="000000"/>
            </w:rPr>
          </w:pPr>
          <w:r w:rsidRPr="00236531">
            <w:rPr>
              <w:color w:val="000000"/>
            </w:rPr>
            <w:t>A sexual assault is without consent if the actor:</w:t>
          </w:r>
        </w:p>
        <w:p w:rsidR="00236531" w:rsidRDefault="00236531" w:rsidP="00236531">
          <w:pPr>
            <w:pStyle w:val="NormalWeb"/>
            <w:numPr>
              <w:ilvl w:val="1"/>
              <w:numId w:val="1"/>
            </w:numPr>
            <w:spacing w:before="0" w:beforeAutospacing="0" w:after="0" w:afterAutospacing="0"/>
            <w:jc w:val="both"/>
            <w:divId w:val="150101477"/>
            <w:rPr>
              <w:color w:val="000000"/>
            </w:rPr>
          </w:pPr>
          <w:r>
            <w:rPr>
              <w:color w:val="000000"/>
            </w:rPr>
            <w:t>k</w:t>
          </w:r>
          <w:r w:rsidRPr="00236531">
            <w:rPr>
              <w:color w:val="000000"/>
            </w:rPr>
            <w:t>nows that the other person cannot consent because of intoxication or impairment by any substance (striking the requirement that the actor intentionally impaired the person without the person's knowledge for this to be applicable)</w:t>
          </w:r>
          <w:r>
            <w:rPr>
              <w:color w:val="000000"/>
            </w:rPr>
            <w:t>; or</w:t>
          </w:r>
        </w:p>
        <w:p w:rsidR="00236531" w:rsidRDefault="00236531" w:rsidP="00236531">
          <w:pPr>
            <w:pStyle w:val="NormalWeb"/>
            <w:numPr>
              <w:ilvl w:val="1"/>
              <w:numId w:val="1"/>
            </w:numPr>
            <w:spacing w:before="0" w:beforeAutospacing="0" w:after="0" w:afterAutospacing="0"/>
            <w:jc w:val="both"/>
            <w:divId w:val="150101477"/>
            <w:rPr>
              <w:color w:val="000000"/>
            </w:rPr>
          </w:pPr>
          <w:r>
            <w:rPr>
              <w:color w:val="000000"/>
            </w:rPr>
            <w:t>k</w:t>
          </w:r>
          <w:r w:rsidRPr="00236531">
            <w:rPr>
              <w:color w:val="000000"/>
            </w:rPr>
            <w:t>nows the other person has withdrawn consent to the act and persists in the act anyway (as engrossed in the House; removed in the Senate committee substitute)</w:t>
          </w:r>
          <w:r>
            <w:rPr>
              <w:color w:val="000000"/>
            </w:rPr>
            <w:t>.</w:t>
          </w:r>
        </w:p>
        <w:p w:rsidR="00236531" w:rsidRDefault="00236531" w:rsidP="00236531">
          <w:pPr>
            <w:pStyle w:val="NormalWeb"/>
            <w:numPr>
              <w:ilvl w:val="0"/>
              <w:numId w:val="1"/>
            </w:numPr>
            <w:spacing w:before="0" w:beforeAutospacing="0" w:after="0" w:afterAutospacing="0"/>
            <w:jc w:val="both"/>
            <w:divId w:val="150101477"/>
            <w:rPr>
              <w:color w:val="000000"/>
            </w:rPr>
          </w:pPr>
          <w:r w:rsidRPr="00236531">
            <w:rPr>
              <w:color w:val="000000"/>
            </w:rPr>
            <w:t>Amends Section 22.011(c), Penal Code</w:t>
          </w:r>
          <w:r>
            <w:rPr>
              <w:color w:val="000000"/>
            </w:rPr>
            <w:t xml:space="preserve">. </w:t>
          </w:r>
        </w:p>
        <w:p w:rsidR="00236531" w:rsidRDefault="00236531" w:rsidP="00236531">
          <w:pPr>
            <w:pStyle w:val="NormalWeb"/>
            <w:numPr>
              <w:ilvl w:val="0"/>
              <w:numId w:val="1"/>
            </w:numPr>
            <w:spacing w:before="0" w:beforeAutospacing="0" w:after="0" w:afterAutospacing="0"/>
            <w:jc w:val="both"/>
            <w:divId w:val="150101477"/>
            <w:rPr>
              <w:color w:val="000000"/>
            </w:rPr>
          </w:pPr>
          <w:r w:rsidRPr="00236531">
            <w:rPr>
              <w:color w:val="000000"/>
            </w:rPr>
            <w:t>Provides that "consent" is defined by the definition of consent used elsewhere in the Penal Code</w:t>
          </w:r>
          <w:r>
            <w:rPr>
              <w:color w:val="000000"/>
            </w:rPr>
            <w:t>.</w:t>
          </w:r>
        </w:p>
        <w:p w:rsidR="00236531" w:rsidRPr="00236531" w:rsidRDefault="00236531" w:rsidP="00236531">
          <w:pPr>
            <w:pStyle w:val="NormalWeb"/>
            <w:numPr>
              <w:ilvl w:val="0"/>
              <w:numId w:val="1"/>
            </w:numPr>
            <w:spacing w:before="0" w:beforeAutospacing="0" w:after="0" w:afterAutospacing="0"/>
            <w:jc w:val="both"/>
            <w:divId w:val="150101477"/>
            <w:rPr>
              <w:color w:val="000000"/>
            </w:rPr>
          </w:pPr>
          <w:r w:rsidRPr="00236531">
            <w:rPr>
              <w:color w:val="000000"/>
            </w:rPr>
            <w:t>"</w:t>
          </w:r>
          <w:r>
            <w:rPr>
              <w:color w:val="000000"/>
            </w:rPr>
            <w:t>A</w:t>
          </w:r>
          <w:r w:rsidRPr="00236531">
            <w:rPr>
              <w:color w:val="000000"/>
            </w:rPr>
            <w:t>ssent in fact, whether express or apparent" (Section 1.07, Penal Code).</w:t>
          </w:r>
        </w:p>
        <w:p w:rsidR="00236531" w:rsidRPr="00236531" w:rsidRDefault="00236531" w:rsidP="00236531">
          <w:pPr>
            <w:pStyle w:val="NormalWeb"/>
            <w:numPr>
              <w:ilvl w:val="0"/>
              <w:numId w:val="1"/>
            </w:numPr>
            <w:spacing w:before="0" w:beforeAutospacing="0" w:after="0" w:afterAutospacing="0"/>
            <w:jc w:val="both"/>
            <w:divId w:val="150101477"/>
            <w:rPr>
              <w:color w:val="000000"/>
            </w:rPr>
          </w:pPr>
          <w:r w:rsidRPr="00236531">
            <w:rPr>
              <w:color w:val="000000"/>
            </w:rPr>
            <w:t>Effective September 1, 2025</w:t>
          </w:r>
          <w:r>
            <w:rPr>
              <w:color w:val="000000"/>
            </w:rPr>
            <w:t>.</w:t>
          </w:r>
        </w:p>
        <w:p w:rsidR="00236531" w:rsidRPr="00236531" w:rsidRDefault="00236531" w:rsidP="00236531">
          <w:pPr>
            <w:pStyle w:val="NormalWeb"/>
            <w:spacing w:before="0" w:beforeAutospacing="0" w:after="0" w:afterAutospacing="0"/>
            <w:jc w:val="both"/>
            <w:divId w:val="150101477"/>
            <w:rPr>
              <w:color w:val="000000"/>
            </w:rPr>
          </w:pPr>
        </w:p>
        <w:p w:rsidR="00236531" w:rsidRPr="00236531" w:rsidRDefault="00236531" w:rsidP="00236531">
          <w:pPr>
            <w:pStyle w:val="NormalWeb"/>
            <w:spacing w:before="0" w:beforeAutospacing="0" w:after="0" w:afterAutospacing="0"/>
            <w:jc w:val="both"/>
            <w:divId w:val="150101477"/>
            <w:rPr>
              <w:color w:val="000000"/>
            </w:rPr>
          </w:pPr>
          <w:r w:rsidRPr="00236531">
            <w:rPr>
              <w:color w:val="000000"/>
            </w:rPr>
            <w:t xml:space="preserve">Committee Substitute: </w:t>
          </w:r>
        </w:p>
        <w:p w:rsidR="00236531" w:rsidRDefault="00236531" w:rsidP="00236531">
          <w:pPr>
            <w:pStyle w:val="NormalWeb"/>
            <w:numPr>
              <w:ilvl w:val="0"/>
              <w:numId w:val="2"/>
            </w:numPr>
            <w:spacing w:before="0" w:beforeAutospacing="0" w:after="0" w:afterAutospacing="0"/>
            <w:jc w:val="both"/>
            <w:divId w:val="150101477"/>
            <w:rPr>
              <w:color w:val="000000"/>
            </w:rPr>
          </w:pPr>
          <w:r w:rsidRPr="00236531">
            <w:rPr>
              <w:color w:val="000000"/>
            </w:rPr>
            <w:t>Removes the withdrawn consent provision</w:t>
          </w:r>
          <w:r>
            <w:rPr>
              <w:color w:val="000000"/>
            </w:rPr>
            <w:t>.</w:t>
          </w:r>
        </w:p>
        <w:p w:rsidR="00236531" w:rsidRPr="00236531" w:rsidRDefault="00236531" w:rsidP="00236531">
          <w:pPr>
            <w:pStyle w:val="NormalWeb"/>
            <w:numPr>
              <w:ilvl w:val="0"/>
              <w:numId w:val="2"/>
            </w:numPr>
            <w:spacing w:before="0" w:beforeAutospacing="0" w:after="0" w:afterAutospacing="0"/>
            <w:jc w:val="both"/>
            <w:divId w:val="150101477"/>
            <w:rPr>
              <w:color w:val="000000"/>
            </w:rPr>
          </w:pPr>
          <w:r w:rsidRPr="00236531">
            <w:rPr>
              <w:color w:val="000000"/>
            </w:rPr>
            <w:t xml:space="preserve">Removes "or reasonably should know" from the provision relating to </w:t>
          </w:r>
          <w:r>
            <w:rPr>
              <w:color w:val="000000"/>
            </w:rPr>
            <w:t>whether</w:t>
          </w:r>
          <w:r w:rsidRPr="00236531">
            <w:rPr>
              <w:color w:val="000000"/>
            </w:rPr>
            <w:t xml:space="preserve"> the victim is intoxicated or impaired.</w:t>
          </w:r>
        </w:p>
        <w:p w:rsidR="00236531" w:rsidRPr="00236531" w:rsidRDefault="00236531" w:rsidP="00236531">
          <w:pPr>
            <w:pStyle w:val="NormalWeb"/>
            <w:spacing w:before="0" w:beforeAutospacing="0" w:after="0" w:afterAutospacing="0"/>
            <w:jc w:val="both"/>
            <w:divId w:val="150101477"/>
            <w:rPr>
              <w:color w:val="000000"/>
            </w:rPr>
          </w:pPr>
        </w:p>
        <w:p w:rsidR="00236531" w:rsidRPr="00236531" w:rsidRDefault="00236531" w:rsidP="00236531">
          <w:pPr>
            <w:pStyle w:val="NormalWeb"/>
            <w:spacing w:before="0" w:beforeAutospacing="0" w:after="0" w:afterAutospacing="0"/>
            <w:jc w:val="both"/>
            <w:divId w:val="150101477"/>
            <w:rPr>
              <w:color w:val="000000"/>
            </w:rPr>
          </w:pPr>
          <w:r w:rsidRPr="00236531">
            <w:rPr>
              <w:color w:val="000000"/>
            </w:rPr>
            <w:t>Second Committee Substitute</w:t>
          </w:r>
          <w:r>
            <w:rPr>
              <w:color w:val="000000"/>
            </w:rPr>
            <w:t>:</w:t>
          </w:r>
        </w:p>
        <w:p w:rsidR="00236531" w:rsidRPr="00236531" w:rsidRDefault="00236531" w:rsidP="00236531">
          <w:pPr>
            <w:pStyle w:val="NormalWeb"/>
            <w:numPr>
              <w:ilvl w:val="0"/>
              <w:numId w:val="3"/>
            </w:numPr>
            <w:spacing w:before="0" w:beforeAutospacing="0" w:after="0" w:afterAutospacing="0"/>
            <w:jc w:val="both"/>
            <w:divId w:val="150101477"/>
            <w:rPr>
              <w:color w:val="000000"/>
            </w:rPr>
          </w:pPr>
          <w:r w:rsidRPr="00236531">
            <w:rPr>
              <w:color w:val="000000"/>
            </w:rPr>
            <w:t xml:space="preserve">Clarifies the language relating to intoxication or impairment to clarify that the other person is intoxicated or impaired </w:t>
          </w:r>
          <w:r>
            <w:rPr>
              <w:color w:val="000000"/>
            </w:rPr>
            <w:t>"</w:t>
          </w:r>
          <w:r w:rsidRPr="00236531">
            <w:rPr>
              <w:color w:val="000000"/>
            </w:rPr>
            <w:t>to the extent that the other person is incapable of consenting</w:t>
          </w:r>
          <w:r>
            <w:rPr>
              <w:color w:val="000000"/>
            </w:rPr>
            <w:t>."</w:t>
          </w:r>
        </w:p>
        <w:p w:rsidR="00236531" w:rsidRPr="00D70925" w:rsidRDefault="00236531" w:rsidP="00236531">
          <w:pPr>
            <w:spacing w:after="0" w:line="240" w:lineRule="auto"/>
            <w:jc w:val="both"/>
            <w:rPr>
              <w:rFonts w:eastAsia="Times New Roman" w:cs="Times New Roman"/>
              <w:bCs/>
              <w:szCs w:val="24"/>
            </w:rPr>
          </w:pPr>
        </w:p>
      </w:sdtContent>
    </w:sdt>
    <w:p w:rsidR="00236531" w:rsidRDefault="00236531" w:rsidP="00E40E1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3073 </w:t>
      </w:r>
      <w:bookmarkStart w:id="1" w:name="AmendsCurrentLaw"/>
      <w:bookmarkEnd w:id="1"/>
      <w:r>
        <w:rPr>
          <w:rFonts w:cs="Times New Roman"/>
          <w:szCs w:val="24"/>
        </w:rPr>
        <w:t xml:space="preserve">amends current law relating to the prosecution of the offense of sexual assault. </w:t>
      </w:r>
    </w:p>
    <w:p w:rsidR="00236531" w:rsidRPr="00E40E10" w:rsidRDefault="00236531" w:rsidP="00E40E10">
      <w:pPr>
        <w:spacing w:after="0" w:line="240" w:lineRule="auto"/>
        <w:jc w:val="both"/>
        <w:rPr>
          <w:rFonts w:eastAsia="Times New Roman" w:cs="Times New Roman"/>
          <w:szCs w:val="24"/>
        </w:rPr>
      </w:pPr>
    </w:p>
    <w:p w:rsidR="00236531" w:rsidRPr="005C2A78" w:rsidRDefault="00236531" w:rsidP="00E40E1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8EBA6A8999F4FF2A48F01645E8BF8B6"/>
          </w:placeholder>
        </w:sdtPr>
        <w:sdtContent>
          <w:r>
            <w:rPr>
              <w:rFonts w:eastAsia="Times New Roman" w:cs="Times New Roman"/>
              <w:b/>
              <w:szCs w:val="24"/>
              <w:u w:val="single"/>
            </w:rPr>
            <w:t>RULEMAKING AUTHORITY</w:t>
          </w:r>
        </w:sdtContent>
      </w:sdt>
    </w:p>
    <w:p w:rsidR="00236531" w:rsidRPr="006529C4" w:rsidRDefault="00236531" w:rsidP="00E40E10">
      <w:pPr>
        <w:spacing w:after="0" w:line="240" w:lineRule="auto"/>
        <w:jc w:val="both"/>
        <w:rPr>
          <w:rFonts w:cs="Times New Roman"/>
          <w:szCs w:val="24"/>
        </w:rPr>
      </w:pPr>
    </w:p>
    <w:p w:rsidR="00236531" w:rsidRPr="006529C4" w:rsidRDefault="00236531" w:rsidP="00E40E1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36531" w:rsidRPr="006529C4" w:rsidRDefault="00236531" w:rsidP="00E40E10">
      <w:pPr>
        <w:spacing w:after="0" w:line="240" w:lineRule="auto"/>
        <w:jc w:val="both"/>
        <w:rPr>
          <w:rFonts w:cs="Times New Roman"/>
          <w:szCs w:val="24"/>
        </w:rPr>
      </w:pPr>
    </w:p>
    <w:p w:rsidR="00236531" w:rsidRPr="005C2A78" w:rsidRDefault="00236531" w:rsidP="00E40E1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D22C00BCE474259B74949BF088593D5"/>
          </w:placeholder>
        </w:sdtPr>
        <w:sdtContent>
          <w:r>
            <w:rPr>
              <w:rFonts w:eastAsia="Times New Roman" w:cs="Times New Roman"/>
              <w:b/>
              <w:szCs w:val="24"/>
              <w:u w:val="single"/>
            </w:rPr>
            <w:t>SECTION BY SECTION ANALYSIS</w:t>
          </w:r>
        </w:sdtContent>
      </w:sdt>
    </w:p>
    <w:p w:rsidR="00236531" w:rsidRPr="005C2A78" w:rsidRDefault="00236531" w:rsidP="00E40E10">
      <w:pPr>
        <w:spacing w:after="0" w:line="240" w:lineRule="auto"/>
        <w:jc w:val="both"/>
        <w:rPr>
          <w:rFonts w:eastAsia="Times New Roman" w:cs="Times New Roman"/>
          <w:szCs w:val="24"/>
        </w:rPr>
      </w:pPr>
    </w:p>
    <w:p w:rsidR="00236531" w:rsidRPr="005C2A78" w:rsidRDefault="00236531" w:rsidP="00E40E1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Authorizes this Act to be cited as the Summer Willis Act. </w:t>
      </w:r>
    </w:p>
    <w:p w:rsidR="00236531" w:rsidRPr="005C2A78" w:rsidRDefault="00236531" w:rsidP="00E40E10">
      <w:pPr>
        <w:spacing w:after="0" w:line="240" w:lineRule="auto"/>
        <w:jc w:val="both"/>
        <w:rPr>
          <w:rFonts w:eastAsia="Times New Roman" w:cs="Times New Roman"/>
          <w:szCs w:val="24"/>
        </w:rPr>
      </w:pPr>
    </w:p>
    <w:p w:rsidR="00236531" w:rsidRDefault="00236531" w:rsidP="00E40E1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22.011(b), Penal Code, as follows:</w:t>
      </w:r>
    </w:p>
    <w:p w:rsidR="00236531" w:rsidRDefault="00236531" w:rsidP="00E40E10">
      <w:pPr>
        <w:spacing w:after="0" w:line="240" w:lineRule="auto"/>
        <w:jc w:val="both"/>
        <w:rPr>
          <w:rFonts w:eastAsia="Times New Roman" w:cs="Times New Roman"/>
          <w:szCs w:val="24"/>
        </w:rPr>
      </w:pPr>
    </w:p>
    <w:p w:rsidR="00236531" w:rsidRDefault="00236531" w:rsidP="00E40E10">
      <w:pPr>
        <w:spacing w:after="0" w:line="240" w:lineRule="auto"/>
        <w:ind w:left="720"/>
        <w:jc w:val="both"/>
        <w:rPr>
          <w:rFonts w:eastAsia="Times New Roman" w:cs="Times New Roman"/>
          <w:szCs w:val="24"/>
        </w:rPr>
      </w:pPr>
      <w:r>
        <w:rPr>
          <w:rFonts w:eastAsia="Times New Roman" w:cs="Times New Roman"/>
          <w:szCs w:val="24"/>
        </w:rPr>
        <w:t xml:space="preserve">(b) Provides that a sexual assault under Subsection (a)(1) (relating to providing that a person commits an offense of sexual assault if the person knowingly or intentionally causes certain actions to occur) is without the consent of the other person if certain conditions are met, including if the actor knows that the other person is intoxicated or impaired by any substance to the extent that the other person is incapable of consenting, rather than the actor has intentionally impaired the other person's power to appraise or control the other person's conduct by administering any substance without the other person's knowledge. </w:t>
      </w:r>
    </w:p>
    <w:p w:rsidR="00236531" w:rsidRPr="005C2A78" w:rsidRDefault="00236531" w:rsidP="00E40E10">
      <w:pPr>
        <w:spacing w:after="0" w:line="240" w:lineRule="auto"/>
        <w:jc w:val="both"/>
        <w:rPr>
          <w:rFonts w:eastAsia="Times New Roman" w:cs="Times New Roman"/>
          <w:szCs w:val="24"/>
        </w:rPr>
      </w:pPr>
    </w:p>
    <w:p w:rsidR="00236531" w:rsidRDefault="00236531" w:rsidP="00E40E1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22.011(c), Penal Code, by adding Subdivision (1-a) to define "consent."</w:t>
      </w:r>
    </w:p>
    <w:p w:rsidR="00236531" w:rsidRDefault="00236531" w:rsidP="00E40E10">
      <w:pPr>
        <w:spacing w:after="0" w:line="240" w:lineRule="auto"/>
        <w:jc w:val="both"/>
        <w:rPr>
          <w:rFonts w:eastAsia="Times New Roman" w:cs="Times New Roman"/>
          <w:szCs w:val="24"/>
        </w:rPr>
      </w:pPr>
    </w:p>
    <w:p w:rsidR="00236531" w:rsidRDefault="00236531" w:rsidP="00E40E10">
      <w:pPr>
        <w:spacing w:after="0" w:line="240" w:lineRule="auto"/>
        <w:jc w:val="both"/>
        <w:rPr>
          <w:rFonts w:eastAsia="Times New Roman" w:cs="Times New Roman"/>
          <w:szCs w:val="24"/>
        </w:rPr>
      </w:pPr>
      <w:r>
        <w:rPr>
          <w:rFonts w:eastAsia="Times New Roman" w:cs="Times New Roman"/>
          <w:szCs w:val="24"/>
        </w:rPr>
        <w:t xml:space="preserve">SECTION 4. Makes application of this Act prospective. </w:t>
      </w:r>
    </w:p>
    <w:p w:rsidR="00236531" w:rsidRDefault="00236531" w:rsidP="00E40E10">
      <w:pPr>
        <w:spacing w:after="0" w:line="240" w:lineRule="auto"/>
        <w:jc w:val="both"/>
        <w:rPr>
          <w:rFonts w:eastAsia="Times New Roman" w:cs="Times New Roman"/>
          <w:szCs w:val="24"/>
        </w:rPr>
      </w:pPr>
    </w:p>
    <w:p w:rsidR="00236531" w:rsidRPr="00C8671F" w:rsidRDefault="00236531" w:rsidP="00E40E10">
      <w:pPr>
        <w:spacing w:after="0" w:line="240" w:lineRule="auto"/>
        <w:jc w:val="both"/>
        <w:rPr>
          <w:rFonts w:eastAsia="Times New Roman" w:cs="Times New Roman"/>
          <w:szCs w:val="24"/>
        </w:rPr>
      </w:pPr>
      <w:r>
        <w:rPr>
          <w:rFonts w:eastAsia="Times New Roman" w:cs="Times New Roman"/>
          <w:szCs w:val="24"/>
        </w:rPr>
        <w:t xml:space="preserve">SECTION 5. Effective date: September 1, 2025. </w:t>
      </w:r>
    </w:p>
    <w:p w:rsidR="00236531" w:rsidRPr="00C8671F" w:rsidRDefault="00236531" w:rsidP="00E40E10">
      <w:pPr>
        <w:spacing w:after="0" w:line="240" w:lineRule="auto"/>
        <w:jc w:val="both"/>
        <w:rPr>
          <w:rFonts w:eastAsia="Times New Roman" w:cs="Times New Roman"/>
          <w:szCs w:val="24"/>
        </w:rPr>
      </w:pPr>
    </w:p>
    <w:sectPr w:rsidR="0023653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129B" w:rsidRDefault="00EF129B" w:rsidP="000F1DF9">
      <w:pPr>
        <w:spacing w:after="0" w:line="240" w:lineRule="auto"/>
      </w:pPr>
      <w:r>
        <w:separator/>
      </w:r>
    </w:p>
  </w:endnote>
  <w:endnote w:type="continuationSeparator" w:id="0">
    <w:p w:rsidR="00EF129B" w:rsidRDefault="00EF129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F129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36531">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36531">
                <w:rPr>
                  <w:sz w:val="20"/>
                  <w:szCs w:val="20"/>
                </w:rPr>
                <w:t>C.S.H.B. 3073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3653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F129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129B" w:rsidRDefault="00EF129B" w:rsidP="000F1DF9">
      <w:pPr>
        <w:spacing w:after="0" w:line="240" w:lineRule="auto"/>
      </w:pPr>
      <w:r>
        <w:separator/>
      </w:r>
    </w:p>
  </w:footnote>
  <w:footnote w:type="continuationSeparator" w:id="0">
    <w:p w:rsidR="00EF129B" w:rsidRDefault="00EF129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379C3"/>
    <w:multiLevelType w:val="hybridMultilevel"/>
    <w:tmpl w:val="7376D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2314E6"/>
    <w:multiLevelType w:val="hybridMultilevel"/>
    <w:tmpl w:val="BED6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4105CE"/>
    <w:multiLevelType w:val="hybridMultilevel"/>
    <w:tmpl w:val="B812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021117">
    <w:abstractNumId w:val="0"/>
  </w:num>
  <w:num w:numId="2" w16cid:durableId="1013611669">
    <w:abstractNumId w:val="1"/>
  </w:num>
  <w:num w:numId="3" w16cid:durableId="647057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5764F"/>
    <w:rsid w:val="002355A9"/>
    <w:rsid w:val="00236531"/>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7822"/>
    <w:rsid w:val="00EE2AD8"/>
    <w:rsid w:val="00EF129B"/>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3AA3E"/>
  <w15:docId w15:val="{F22B9136-68BB-49A7-8E70-A557EB7A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3653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1477">
      <w:bodyDiv w:val="1"/>
      <w:marLeft w:val="0"/>
      <w:marRight w:val="0"/>
      <w:marTop w:val="0"/>
      <w:marBottom w:val="0"/>
      <w:divBdr>
        <w:top w:val="none" w:sz="0" w:space="0" w:color="auto"/>
        <w:left w:val="none" w:sz="0" w:space="0" w:color="auto"/>
        <w:bottom w:val="none" w:sz="0" w:space="0" w:color="auto"/>
        <w:right w:val="none" w:sz="0" w:space="0" w:color="auto"/>
      </w:divBdr>
    </w:div>
    <w:div w:id="84852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20DBDEB94CA446CBEE79C1CC8B762E7"/>
        <w:category>
          <w:name w:val="General"/>
          <w:gallery w:val="placeholder"/>
        </w:category>
        <w:types>
          <w:type w:val="bbPlcHdr"/>
        </w:types>
        <w:behaviors>
          <w:behavior w:val="content"/>
        </w:behaviors>
        <w:guid w:val="{8270B5CB-493F-4EC3-8414-70E5A695DDCE}"/>
      </w:docPartPr>
      <w:docPartBody>
        <w:p w:rsidR="00F929A2" w:rsidRDefault="00F929A2"/>
      </w:docPartBody>
    </w:docPart>
    <w:docPart>
      <w:docPartPr>
        <w:name w:val="EBC0AE9539DC4CE299FC3CB80E070988"/>
        <w:category>
          <w:name w:val="General"/>
          <w:gallery w:val="placeholder"/>
        </w:category>
        <w:types>
          <w:type w:val="bbPlcHdr"/>
        </w:types>
        <w:behaviors>
          <w:behavior w:val="content"/>
        </w:behaviors>
        <w:guid w:val="{C51E1EF1-EB30-4095-A160-591394F86806}"/>
      </w:docPartPr>
      <w:docPartBody>
        <w:p w:rsidR="00F929A2" w:rsidRDefault="00F929A2"/>
      </w:docPartBody>
    </w:docPart>
    <w:docPart>
      <w:docPartPr>
        <w:name w:val="9B5EF56DED79416583EB86E2AA3CB0FA"/>
        <w:category>
          <w:name w:val="General"/>
          <w:gallery w:val="placeholder"/>
        </w:category>
        <w:types>
          <w:type w:val="bbPlcHdr"/>
        </w:types>
        <w:behaviors>
          <w:behavior w:val="content"/>
        </w:behaviors>
        <w:guid w:val="{44BED8C2-A181-4E1E-8B54-24725858621A}"/>
      </w:docPartPr>
      <w:docPartBody>
        <w:p w:rsidR="00F929A2" w:rsidRDefault="00F929A2"/>
      </w:docPartBody>
    </w:docPart>
    <w:docPart>
      <w:docPartPr>
        <w:name w:val="2E9A5A4C5D3845E586E8D0265D0AE7AD"/>
        <w:category>
          <w:name w:val="General"/>
          <w:gallery w:val="placeholder"/>
        </w:category>
        <w:types>
          <w:type w:val="bbPlcHdr"/>
        </w:types>
        <w:behaviors>
          <w:behavior w:val="content"/>
        </w:behaviors>
        <w:guid w:val="{A6144591-339F-4007-B7D6-BEAD853F7D36}"/>
      </w:docPartPr>
      <w:docPartBody>
        <w:p w:rsidR="00F929A2" w:rsidRDefault="00F929A2"/>
      </w:docPartBody>
    </w:docPart>
    <w:docPart>
      <w:docPartPr>
        <w:name w:val="4FFA2E548A2A4A528983373923BB09D6"/>
        <w:category>
          <w:name w:val="General"/>
          <w:gallery w:val="placeholder"/>
        </w:category>
        <w:types>
          <w:type w:val="bbPlcHdr"/>
        </w:types>
        <w:behaviors>
          <w:behavior w:val="content"/>
        </w:behaviors>
        <w:guid w:val="{A16BBD60-BE44-4ED1-ABDC-B03058E117A0}"/>
      </w:docPartPr>
      <w:docPartBody>
        <w:p w:rsidR="00F929A2" w:rsidRDefault="00F929A2"/>
      </w:docPartBody>
    </w:docPart>
    <w:docPart>
      <w:docPartPr>
        <w:name w:val="8FE81D39544743B78609622A8BEA54B8"/>
        <w:category>
          <w:name w:val="General"/>
          <w:gallery w:val="placeholder"/>
        </w:category>
        <w:types>
          <w:type w:val="bbPlcHdr"/>
        </w:types>
        <w:behaviors>
          <w:behavior w:val="content"/>
        </w:behaviors>
        <w:guid w:val="{5D7000BF-9700-4DC0-96E4-804C001FBDF9}"/>
      </w:docPartPr>
      <w:docPartBody>
        <w:p w:rsidR="00F929A2" w:rsidRDefault="00F929A2"/>
      </w:docPartBody>
    </w:docPart>
    <w:docPart>
      <w:docPartPr>
        <w:name w:val="E8608D7DE8CB45E8867E74E5E6650353"/>
        <w:category>
          <w:name w:val="General"/>
          <w:gallery w:val="placeholder"/>
        </w:category>
        <w:types>
          <w:type w:val="bbPlcHdr"/>
        </w:types>
        <w:behaviors>
          <w:behavior w:val="content"/>
        </w:behaviors>
        <w:guid w:val="{78142399-4185-49A6-AAEF-47C87BC73539}"/>
      </w:docPartPr>
      <w:docPartBody>
        <w:p w:rsidR="00F929A2" w:rsidRDefault="00F929A2"/>
      </w:docPartBody>
    </w:docPart>
    <w:docPart>
      <w:docPartPr>
        <w:name w:val="5626147C22684F698F9C60848BE3A5FA"/>
        <w:category>
          <w:name w:val="General"/>
          <w:gallery w:val="placeholder"/>
        </w:category>
        <w:types>
          <w:type w:val="bbPlcHdr"/>
        </w:types>
        <w:behaviors>
          <w:behavior w:val="content"/>
        </w:behaviors>
        <w:guid w:val="{716B0425-7251-4FCC-8E8F-153BB9BBE754}"/>
      </w:docPartPr>
      <w:docPartBody>
        <w:p w:rsidR="00F929A2" w:rsidRDefault="00F929A2"/>
      </w:docPartBody>
    </w:docPart>
    <w:docPart>
      <w:docPartPr>
        <w:name w:val="8828545F20ED4D90BB6F54DCEFF6A779"/>
        <w:category>
          <w:name w:val="General"/>
          <w:gallery w:val="placeholder"/>
        </w:category>
        <w:types>
          <w:type w:val="bbPlcHdr"/>
        </w:types>
        <w:behaviors>
          <w:behavior w:val="content"/>
        </w:behaviors>
        <w:guid w:val="{2AC9E888-5AC5-4264-9FC9-FF2883CC3E89}"/>
      </w:docPartPr>
      <w:docPartBody>
        <w:p w:rsidR="00F929A2" w:rsidRDefault="00F929A2"/>
      </w:docPartBody>
    </w:docPart>
    <w:docPart>
      <w:docPartPr>
        <w:name w:val="79F9E8C81162417890BFE9FB2452464A"/>
        <w:category>
          <w:name w:val="General"/>
          <w:gallery w:val="placeholder"/>
        </w:category>
        <w:types>
          <w:type w:val="bbPlcHdr"/>
        </w:types>
        <w:behaviors>
          <w:behavior w:val="content"/>
        </w:behaviors>
        <w:guid w:val="{E6BD2570-AE93-4064-B343-87C71A65B69F}"/>
      </w:docPartPr>
      <w:docPartBody>
        <w:p w:rsidR="00F929A2" w:rsidRDefault="005A615F" w:rsidP="005A615F">
          <w:pPr>
            <w:pStyle w:val="79F9E8C81162417890BFE9FB2452464A"/>
          </w:pPr>
          <w:r w:rsidRPr="00A30DD1">
            <w:rPr>
              <w:rStyle w:val="PlaceholderText"/>
            </w:rPr>
            <w:t>Click here to enter a date.</w:t>
          </w:r>
        </w:p>
      </w:docPartBody>
    </w:docPart>
    <w:docPart>
      <w:docPartPr>
        <w:name w:val="41D85EF6589C42F9AFA7F95EBE6CEC71"/>
        <w:category>
          <w:name w:val="General"/>
          <w:gallery w:val="placeholder"/>
        </w:category>
        <w:types>
          <w:type w:val="bbPlcHdr"/>
        </w:types>
        <w:behaviors>
          <w:behavior w:val="content"/>
        </w:behaviors>
        <w:guid w:val="{9C1236A3-D10B-45BE-B79B-4C7D67690FED}"/>
      </w:docPartPr>
      <w:docPartBody>
        <w:p w:rsidR="00F929A2" w:rsidRDefault="00F929A2"/>
      </w:docPartBody>
    </w:docPart>
    <w:docPart>
      <w:docPartPr>
        <w:name w:val="91E68915E797417EB944C1F2C85C6826"/>
        <w:category>
          <w:name w:val="General"/>
          <w:gallery w:val="placeholder"/>
        </w:category>
        <w:types>
          <w:type w:val="bbPlcHdr"/>
        </w:types>
        <w:behaviors>
          <w:behavior w:val="content"/>
        </w:behaviors>
        <w:guid w:val="{B15873A3-3BA4-408A-84C1-9B92217A52DD}"/>
      </w:docPartPr>
      <w:docPartBody>
        <w:p w:rsidR="00F929A2" w:rsidRDefault="00F929A2"/>
      </w:docPartBody>
    </w:docPart>
    <w:docPart>
      <w:docPartPr>
        <w:name w:val="A14C442257B4432FA59A6C5F1C2C4288"/>
        <w:category>
          <w:name w:val="General"/>
          <w:gallery w:val="placeholder"/>
        </w:category>
        <w:types>
          <w:type w:val="bbPlcHdr"/>
        </w:types>
        <w:behaviors>
          <w:behavior w:val="content"/>
        </w:behaviors>
        <w:guid w:val="{527EC9FA-F79D-4135-A6D9-12E6A40F1CD6}"/>
      </w:docPartPr>
      <w:docPartBody>
        <w:p w:rsidR="00F929A2" w:rsidRDefault="005A615F" w:rsidP="005A615F">
          <w:pPr>
            <w:pStyle w:val="A14C442257B4432FA59A6C5F1C2C4288"/>
          </w:pPr>
          <w:r>
            <w:rPr>
              <w:rFonts w:eastAsia="Times New Roman" w:cs="Times New Roman"/>
              <w:bCs/>
            </w:rPr>
            <w:t xml:space="preserve"> </w:t>
          </w:r>
        </w:p>
      </w:docPartBody>
    </w:docPart>
    <w:docPart>
      <w:docPartPr>
        <w:name w:val="98EBA6A8999F4FF2A48F01645E8BF8B6"/>
        <w:category>
          <w:name w:val="General"/>
          <w:gallery w:val="placeholder"/>
        </w:category>
        <w:types>
          <w:type w:val="bbPlcHdr"/>
        </w:types>
        <w:behaviors>
          <w:behavior w:val="content"/>
        </w:behaviors>
        <w:guid w:val="{A10A4929-6108-40DA-A04D-3FE5DB0476F3}"/>
      </w:docPartPr>
      <w:docPartBody>
        <w:p w:rsidR="00F929A2" w:rsidRDefault="00F929A2"/>
      </w:docPartBody>
    </w:docPart>
    <w:docPart>
      <w:docPartPr>
        <w:name w:val="3D22C00BCE474259B74949BF088593D5"/>
        <w:category>
          <w:name w:val="General"/>
          <w:gallery w:val="placeholder"/>
        </w:category>
        <w:types>
          <w:type w:val="bbPlcHdr"/>
        </w:types>
        <w:behaviors>
          <w:behavior w:val="content"/>
        </w:behaviors>
        <w:guid w:val="{1E50FFFA-28CC-4114-9DC4-139304170E08}"/>
      </w:docPartPr>
      <w:docPartBody>
        <w:p w:rsidR="00F929A2" w:rsidRDefault="00F929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764F"/>
    <w:rsid w:val="001C5F26"/>
    <w:rsid w:val="001E7483"/>
    <w:rsid w:val="00280096"/>
    <w:rsid w:val="00290C4E"/>
    <w:rsid w:val="002A4665"/>
    <w:rsid w:val="002A5E86"/>
    <w:rsid w:val="002F07B9"/>
    <w:rsid w:val="0032359E"/>
    <w:rsid w:val="00330290"/>
    <w:rsid w:val="004816E8"/>
    <w:rsid w:val="00493D6D"/>
    <w:rsid w:val="00576003"/>
    <w:rsid w:val="005A615F"/>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929A2"/>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615F"/>
    <w:rPr>
      <w:color w:val="808080"/>
    </w:rPr>
  </w:style>
  <w:style w:type="paragraph" w:customStyle="1" w:styleId="79F9E8C81162417890BFE9FB2452464A">
    <w:name w:val="79F9E8C81162417890BFE9FB2452464A"/>
    <w:rsid w:val="005A615F"/>
    <w:pPr>
      <w:spacing w:after="160" w:line="278" w:lineRule="auto"/>
    </w:pPr>
    <w:rPr>
      <w:kern w:val="2"/>
      <w:sz w:val="24"/>
      <w:szCs w:val="24"/>
      <w14:ligatures w14:val="standardContextual"/>
    </w:rPr>
  </w:style>
  <w:style w:type="paragraph" w:customStyle="1" w:styleId="A14C442257B4432FA59A6C5F1C2C4288">
    <w:name w:val="A14C442257B4432FA59A6C5F1C2C4288"/>
    <w:rsid w:val="005A615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5743</TotalTime>
  <Pages>1</Pages>
  <Words>558</Words>
  <Characters>3187</Characters>
  <Application>Microsoft Office Word</Application>
  <DocSecurity>0</DocSecurity>
  <Lines>26</Lines>
  <Paragraphs>7</Paragraphs>
  <ScaleCrop>false</ScaleCrop>
  <Company>Texas Legislative Council</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2025-05-26T20:41:00Z</cp:lastPrinted>
  <dcterms:created xsi:type="dcterms:W3CDTF">2015-05-29T14:24:00Z</dcterms:created>
  <dcterms:modified xsi:type="dcterms:W3CDTF">2025-05-26T20:41:00Z</dcterms:modified>
</cp:coreProperties>
</file>

<file path=docProps/custom.xml><?xml version="1.0" encoding="utf-8"?>
<op:Properties xmlns:vt="http://schemas.openxmlformats.org/officeDocument/2006/docPropsVTypes" xmlns:op="http://schemas.openxmlformats.org/officeDocument/2006/custom-properties"/>
</file>