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54546" w14:paraId="0762922F" w14:textId="77777777" w:rsidTr="00345119">
        <w:tc>
          <w:tcPr>
            <w:tcW w:w="9576" w:type="dxa"/>
            <w:noWrap/>
          </w:tcPr>
          <w:p w14:paraId="7F980E1E" w14:textId="77777777" w:rsidR="008423E4" w:rsidRPr="0022177D" w:rsidRDefault="00070F13" w:rsidP="00C77621">
            <w:pPr>
              <w:pStyle w:val="Heading1"/>
            </w:pPr>
            <w:r w:rsidRPr="00631897">
              <w:t>BILL ANALYSIS</w:t>
            </w:r>
          </w:p>
        </w:tc>
      </w:tr>
    </w:tbl>
    <w:p w14:paraId="6B8EBD29" w14:textId="77777777" w:rsidR="008423E4" w:rsidRPr="0022177D" w:rsidRDefault="008423E4" w:rsidP="00C77621">
      <w:pPr>
        <w:jc w:val="center"/>
      </w:pPr>
    </w:p>
    <w:p w14:paraId="5DFBAE8D" w14:textId="77777777" w:rsidR="008423E4" w:rsidRPr="00B31F0E" w:rsidRDefault="008423E4" w:rsidP="00C77621"/>
    <w:p w14:paraId="1B643D5A" w14:textId="77777777" w:rsidR="008423E4" w:rsidRPr="00742794" w:rsidRDefault="008423E4" w:rsidP="00C776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54546" w14:paraId="5FC3B881" w14:textId="77777777" w:rsidTr="00345119">
        <w:tc>
          <w:tcPr>
            <w:tcW w:w="9576" w:type="dxa"/>
          </w:tcPr>
          <w:p w14:paraId="6F926F46" w14:textId="18D7A076" w:rsidR="008423E4" w:rsidRPr="00861995" w:rsidRDefault="00070F13" w:rsidP="00C77621">
            <w:pPr>
              <w:jc w:val="right"/>
            </w:pPr>
            <w:r>
              <w:t>H.B. 3260</w:t>
            </w:r>
          </w:p>
        </w:tc>
      </w:tr>
      <w:tr w:rsidR="00A54546" w14:paraId="35EAA526" w14:textId="77777777" w:rsidTr="00345119">
        <w:tc>
          <w:tcPr>
            <w:tcW w:w="9576" w:type="dxa"/>
          </w:tcPr>
          <w:p w14:paraId="728A123D" w14:textId="13E410B3" w:rsidR="008423E4" w:rsidRPr="00861995" w:rsidRDefault="00070F13" w:rsidP="00C77621">
            <w:pPr>
              <w:jc w:val="right"/>
            </w:pPr>
            <w:r>
              <w:t xml:space="preserve">By: </w:t>
            </w:r>
            <w:r w:rsidR="00593D2D">
              <w:t>Bell, Keith</w:t>
            </w:r>
          </w:p>
        </w:tc>
      </w:tr>
      <w:tr w:rsidR="00A54546" w14:paraId="5A603C57" w14:textId="77777777" w:rsidTr="00345119">
        <w:tc>
          <w:tcPr>
            <w:tcW w:w="9576" w:type="dxa"/>
          </w:tcPr>
          <w:p w14:paraId="05CE675E" w14:textId="219C71C2" w:rsidR="008423E4" w:rsidRPr="00861995" w:rsidRDefault="00070F13" w:rsidP="00C77621">
            <w:pPr>
              <w:jc w:val="right"/>
            </w:pPr>
            <w:r>
              <w:t>Trade, Workforce &amp; Economic Development</w:t>
            </w:r>
          </w:p>
        </w:tc>
      </w:tr>
      <w:tr w:rsidR="00A54546" w14:paraId="13EC993D" w14:textId="77777777" w:rsidTr="00345119">
        <w:tc>
          <w:tcPr>
            <w:tcW w:w="9576" w:type="dxa"/>
          </w:tcPr>
          <w:p w14:paraId="38F7C27A" w14:textId="2B6ABE6C" w:rsidR="008423E4" w:rsidRDefault="00070F13" w:rsidP="00C77621">
            <w:pPr>
              <w:jc w:val="right"/>
            </w:pPr>
            <w:r>
              <w:t>Committee Report (Unamended)</w:t>
            </w:r>
          </w:p>
        </w:tc>
      </w:tr>
    </w:tbl>
    <w:p w14:paraId="76BF879B" w14:textId="77777777" w:rsidR="008423E4" w:rsidRDefault="008423E4" w:rsidP="00C77621">
      <w:pPr>
        <w:tabs>
          <w:tab w:val="right" w:pos="9360"/>
        </w:tabs>
      </w:pPr>
    </w:p>
    <w:p w14:paraId="2CC24C55" w14:textId="77777777" w:rsidR="008423E4" w:rsidRDefault="008423E4" w:rsidP="00C77621"/>
    <w:p w14:paraId="34F718A5" w14:textId="77777777" w:rsidR="008423E4" w:rsidRDefault="008423E4" w:rsidP="00C776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54546" w14:paraId="358215FC" w14:textId="77777777" w:rsidTr="00345119">
        <w:tc>
          <w:tcPr>
            <w:tcW w:w="9576" w:type="dxa"/>
          </w:tcPr>
          <w:p w14:paraId="06793B86" w14:textId="77777777" w:rsidR="008423E4" w:rsidRPr="00A8133F" w:rsidRDefault="00070F13" w:rsidP="00C776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ED4564" w14:textId="77777777" w:rsidR="008423E4" w:rsidRDefault="008423E4" w:rsidP="00C77621"/>
          <w:p w14:paraId="727C5F2B" w14:textId="7600D354" w:rsidR="006D1952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86th Legislature established the Texas Industry-Recognized Apprenticeship</w:t>
            </w:r>
            <w:r w:rsidR="00D5427C">
              <w:t xml:space="preserve"> Grant</w:t>
            </w:r>
            <w:r>
              <w:t xml:space="preserve"> Program to encourage the private sector to develop </w:t>
            </w:r>
            <w:r w:rsidR="008C4921" w:rsidRPr="008C4921">
              <w:t>specialized industry-recognized apprenticeship</w:t>
            </w:r>
            <w:r w:rsidR="000173C8">
              <w:t xml:space="preserve"> programs</w:t>
            </w:r>
            <w:r w:rsidR="00696511">
              <w:t xml:space="preserve"> for</w:t>
            </w:r>
            <w:r w:rsidR="000173C8">
              <w:t xml:space="preserve"> </w:t>
            </w:r>
            <w:r>
              <w:t>middle</w:t>
            </w:r>
            <w:r w:rsidR="001271CF">
              <w:t xml:space="preserve"> </w:t>
            </w:r>
            <w:r>
              <w:t>skills</w:t>
            </w:r>
            <w:r w:rsidR="00696511">
              <w:t xml:space="preserve"> careers</w:t>
            </w:r>
            <w:r w:rsidR="001C4692">
              <w:t>, which</w:t>
            </w:r>
            <w:r w:rsidR="00696511">
              <w:t xml:space="preserve"> </w:t>
            </w:r>
            <w:r w:rsidR="00D039AD" w:rsidRPr="00D039AD">
              <w:t>require some education beyond high school but less than a four-year degree</w:t>
            </w:r>
            <w:r w:rsidR="001C4692">
              <w:t>,</w:t>
            </w:r>
            <w:r w:rsidR="00696511">
              <w:t xml:space="preserve"> </w:t>
            </w:r>
            <w:r>
              <w:t xml:space="preserve">to meet </w:t>
            </w:r>
            <w:r w:rsidR="000173C8">
              <w:t xml:space="preserve">industrial </w:t>
            </w:r>
            <w:r>
              <w:t xml:space="preserve">workforce needs in </w:t>
            </w:r>
            <w:r w:rsidR="000173C8">
              <w:t xml:space="preserve">regions </w:t>
            </w:r>
            <w:r>
              <w:t xml:space="preserve">impacted by </w:t>
            </w:r>
            <w:r w:rsidR="000173C8">
              <w:t xml:space="preserve">natural disasters and </w:t>
            </w:r>
            <w:r>
              <w:t>overall workforce shortages.</w:t>
            </w:r>
            <w:r w:rsidR="000173C8">
              <w:t xml:space="preserve"> </w:t>
            </w:r>
            <w:r w:rsidR="001271CF">
              <w:t xml:space="preserve">According to a 2022 policy recommendations report by the Texas Commission on Community College Finance, </w:t>
            </w:r>
            <w:r w:rsidR="001C4692">
              <w:t xml:space="preserve">over 54 percent of jobs in Texas </w:t>
            </w:r>
            <w:r w:rsidR="0045618A">
              <w:t xml:space="preserve">at the time </w:t>
            </w:r>
            <w:r w:rsidR="001C4692">
              <w:t xml:space="preserve">were considered middle skill, </w:t>
            </w:r>
            <w:r w:rsidR="0045618A">
              <w:t xml:space="preserve">but </w:t>
            </w:r>
            <w:r w:rsidR="004279E0">
              <w:t xml:space="preserve">only 45 percent of Texans </w:t>
            </w:r>
            <w:r w:rsidR="001C4692">
              <w:t>were</w:t>
            </w:r>
            <w:r w:rsidR="004279E0">
              <w:t xml:space="preserve"> sufficiently trained for such jobs</w:t>
            </w:r>
            <w:r w:rsidR="001C4692">
              <w:t>, thus leaving a "</w:t>
            </w:r>
            <w:r w:rsidR="001C4692" w:rsidRPr="004279E0">
              <w:t>middle skills gap</w:t>
            </w:r>
            <w:r w:rsidR="001C4692">
              <w:t>" of roughly 1.4 million Texans</w:t>
            </w:r>
            <w:r w:rsidR="004279E0">
              <w:t>.</w:t>
            </w:r>
            <w:r w:rsidR="00AF33B4">
              <w:t xml:space="preserve"> </w:t>
            </w:r>
            <w:r w:rsidR="00C100DE">
              <w:t>Given</w:t>
            </w:r>
            <w:r w:rsidR="00552173">
              <w:t xml:space="preserve"> this issue</w:t>
            </w:r>
            <w:r>
              <w:t xml:space="preserve"> and the </w:t>
            </w:r>
            <w:r w:rsidR="00552173">
              <w:t xml:space="preserve">current </w:t>
            </w:r>
            <w:r>
              <w:t xml:space="preserve">labor market </w:t>
            </w:r>
            <w:r w:rsidR="00552173">
              <w:t xml:space="preserve">being </w:t>
            </w:r>
            <w:r>
              <w:t>tight with low unemployment rates</w:t>
            </w:r>
            <w:r w:rsidR="00552173">
              <w:t>, as reported by the Texas Workforce Commission (TWC)</w:t>
            </w:r>
            <w:r>
              <w:t xml:space="preserve">, the program helps deliver in-demand skills to Texans while directly connecting them to employers with available jobs. </w:t>
            </w:r>
            <w:r w:rsidR="00552173">
              <w:t xml:space="preserve">However, the bill author has informed the committee that </w:t>
            </w:r>
            <w:r>
              <w:t xml:space="preserve">TWC has received feedback from employers that the </w:t>
            </w:r>
            <w:r w:rsidR="008A602F">
              <w:t xml:space="preserve">reimbursement </w:t>
            </w:r>
            <w:r>
              <w:t xml:space="preserve">timeline </w:t>
            </w:r>
            <w:r w:rsidR="008A602F">
              <w:t xml:space="preserve">under the program </w:t>
            </w:r>
            <w:r>
              <w:t>is too long</w:t>
            </w:r>
            <w:r w:rsidR="0045618A">
              <w:t>,</w:t>
            </w:r>
            <w:r w:rsidR="00AF33B4">
              <w:t xml:space="preserve"> often resulting in </w:t>
            </w:r>
            <w:r w:rsidR="00EB1831">
              <w:t xml:space="preserve">employers waiting up to </w:t>
            </w:r>
            <w:r>
              <w:t xml:space="preserve">18 months for </w:t>
            </w:r>
            <w:r w:rsidR="00EB1831">
              <w:t>reimbursement</w:t>
            </w:r>
            <w:r w:rsidR="00552173">
              <w:t xml:space="preserve">, as current </w:t>
            </w:r>
            <w:r w:rsidR="007A1BBB">
              <w:t xml:space="preserve">law </w:t>
            </w:r>
            <w:r w:rsidR="00B0033C">
              <w:t>does not allow for reimbursement until both the apprenticeship and a 12-month post-training employment period are completed</w:t>
            </w:r>
            <w:r>
              <w:t>.</w:t>
            </w:r>
            <w:r w:rsidR="008A602F">
              <w:t xml:space="preserve"> </w:t>
            </w:r>
            <w:r>
              <w:t>H</w:t>
            </w:r>
            <w:r w:rsidR="008A602F">
              <w:t>.</w:t>
            </w:r>
            <w:r>
              <w:t>B</w:t>
            </w:r>
            <w:r w:rsidR="008A602F">
              <w:t>.</w:t>
            </w:r>
            <w:r>
              <w:t xml:space="preserve"> 3260</w:t>
            </w:r>
            <w:r w:rsidR="008A602F">
              <w:t xml:space="preserve"> seeks to remedy this situation by authorizing TWC to</w:t>
            </w:r>
            <w:r w:rsidR="00EB1831">
              <w:t xml:space="preserve"> partially</w:t>
            </w:r>
            <w:r>
              <w:t xml:space="preserve"> reimburse employers for training under the program as milestones are met during apprenticeship training and employment</w:t>
            </w:r>
            <w:r w:rsidR="00EB1831">
              <w:t xml:space="preserve"> and </w:t>
            </w:r>
            <w:r w:rsidR="00BF01F1">
              <w:t>requiring</w:t>
            </w:r>
            <w:r w:rsidR="00EB1831">
              <w:t xml:space="preserve"> TWC</w:t>
            </w:r>
            <w:r w:rsidR="00BF01F1">
              <w:t xml:space="preserve"> </w:t>
            </w:r>
            <w:r>
              <w:t>to establish Texas-specific parameters for the program.</w:t>
            </w:r>
          </w:p>
          <w:p w14:paraId="43E7FA82" w14:textId="77777777" w:rsidR="008423E4" w:rsidRPr="00E26B13" w:rsidRDefault="008423E4" w:rsidP="00C77621">
            <w:pPr>
              <w:rPr>
                <w:b/>
              </w:rPr>
            </w:pPr>
          </w:p>
        </w:tc>
      </w:tr>
      <w:tr w:rsidR="00A54546" w14:paraId="5F050513" w14:textId="77777777" w:rsidTr="00345119">
        <w:tc>
          <w:tcPr>
            <w:tcW w:w="9576" w:type="dxa"/>
          </w:tcPr>
          <w:p w14:paraId="5A922655" w14:textId="77777777" w:rsidR="0017725B" w:rsidRDefault="00070F13" w:rsidP="00C776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D57727" w14:textId="77777777" w:rsidR="0017725B" w:rsidRDefault="0017725B" w:rsidP="00C77621">
            <w:pPr>
              <w:rPr>
                <w:b/>
                <w:u w:val="single"/>
              </w:rPr>
            </w:pPr>
          </w:p>
          <w:p w14:paraId="432C6828" w14:textId="19A48F97" w:rsidR="004C7F44" w:rsidRPr="004C7F44" w:rsidRDefault="00070F13" w:rsidP="00C7762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8AE3A72" w14:textId="77777777" w:rsidR="0017725B" w:rsidRPr="0017725B" w:rsidRDefault="0017725B" w:rsidP="00C77621">
            <w:pPr>
              <w:rPr>
                <w:b/>
                <w:u w:val="single"/>
              </w:rPr>
            </w:pPr>
          </w:p>
        </w:tc>
      </w:tr>
      <w:tr w:rsidR="00A54546" w14:paraId="49772E69" w14:textId="77777777" w:rsidTr="00345119">
        <w:tc>
          <w:tcPr>
            <w:tcW w:w="9576" w:type="dxa"/>
          </w:tcPr>
          <w:p w14:paraId="5EA085B0" w14:textId="77777777" w:rsidR="008423E4" w:rsidRPr="00A8133F" w:rsidRDefault="00070F13" w:rsidP="00C776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359E55" w14:textId="77777777" w:rsidR="008423E4" w:rsidRDefault="008423E4" w:rsidP="00C77621"/>
          <w:p w14:paraId="33356809" w14:textId="73800BD8" w:rsidR="004C7F44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423F79">
              <w:t xml:space="preserve">Texas Workforce Commission </w:t>
            </w:r>
            <w:r w:rsidRPr="00423F79">
              <w:t xml:space="preserve">in </w:t>
            </w:r>
            <w:r w:rsidR="00423F79">
              <w:t>SECTIONS 2 and 3</w:t>
            </w:r>
            <w:r>
              <w:t xml:space="preserve"> of this bill.</w:t>
            </w:r>
          </w:p>
          <w:p w14:paraId="69966395" w14:textId="77777777" w:rsidR="008423E4" w:rsidRPr="00E21FDC" w:rsidRDefault="008423E4" w:rsidP="00C77621">
            <w:pPr>
              <w:rPr>
                <w:b/>
              </w:rPr>
            </w:pPr>
          </w:p>
        </w:tc>
      </w:tr>
      <w:tr w:rsidR="00A54546" w14:paraId="08FAA6B4" w14:textId="77777777" w:rsidTr="00345119">
        <w:tc>
          <w:tcPr>
            <w:tcW w:w="9576" w:type="dxa"/>
          </w:tcPr>
          <w:p w14:paraId="7C3C3F78" w14:textId="77777777" w:rsidR="008423E4" w:rsidRPr="00A8133F" w:rsidRDefault="00070F13" w:rsidP="00C776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5BC9D1" w14:textId="77777777" w:rsidR="008423E4" w:rsidRDefault="008423E4" w:rsidP="00C77621"/>
          <w:p w14:paraId="1762BA9C" w14:textId="768C68B2" w:rsidR="003D68CD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3260 </w:t>
            </w:r>
            <w:r>
              <w:t xml:space="preserve">amends the Labor Code to </w:t>
            </w:r>
            <w:r w:rsidR="00B0033C">
              <w:t xml:space="preserve">authorize </w:t>
            </w:r>
            <w:r w:rsidR="00BF01F1">
              <w:t xml:space="preserve">the Texas Workforce Commission (TWC) </w:t>
            </w:r>
            <w:r w:rsidR="00B0033C">
              <w:t xml:space="preserve">by rule to </w:t>
            </w:r>
            <w:r w:rsidR="00B0033C" w:rsidRPr="00423F79">
              <w:t>distribute payments constituting a partial reimbursement to an eligible person as milestones for on-the-job training and employment are met by</w:t>
            </w:r>
            <w:r w:rsidR="00B0033C">
              <w:t xml:space="preserve"> </w:t>
            </w:r>
            <w:r w:rsidR="00BF01F1" w:rsidRPr="00A774E5">
              <w:t>Texas Industry-Recognized Apprenticeship Programs Grant Program</w:t>
            </w:r>
            <w:r w:rsidR="00BF01F1" w:rsidRPr="00423F79">
              <w:t xml:space="preserve"> </w:t>
            </w:r>
            <w:r w:rsidR="00B0033C" w:rsidRPr="00423F79">
              <w:t>participants, in accordance with the grant terms</w:t>
            </w:r>
            <w:r w:rsidR="00B0033C">
              <w:t xml:space="preserve">. </w:t>
            </w:r>
            <w:r w:rsidR="00BF01F1">
              <w:t xml:space="preserve">The bill </w:t>
            </w:r>
            <w:r>
              <w:t>require</w:t>
            </w:r>
            <w:r w:rsidR="00BF01F1">
              <w:t>s</w:t>
            </w:r>
            <w:r>
              <w:t xml:space="preserve"> </w:t>
            </w:r>
            <w:r w:rsidR="00BF01F1">
              <w:t xml:space="preserve">TWC </w:t>
            </w:r>
            <w:r>
              <w:t xml:space="preserve">to </w:t>
            </w:r>
            <w:r w:rsidRPr="00A774E5">
              <w:t>adopt rules</w:t>
            </w:r>
            <w:r>
              <w:t xml:space="preserve"> as soon as practicable after the bill's effective date establishing the following for the purposes of</w:t>
            </w:r>
            <w:r w:rsidRPr="00A774E5">
              <w:t xml:space="preserve"> </w:t>
            </w:r>
            <w:r>
              <w:t>administering and enforcing the</w:t>
            </w:r>
            <w:r w:rsidR="00BF01F1">
              <w:t xml:space="preserve"> program</w:t>
            </w:r>
            <w:r w:rsidRPr="00A774E5">
              <w:t>:</w:t>
            </w:r>
            <w:r>
              <w:t xml:space="preserve"> </w:t>
            </w:r>
          </w:p>
          <w:p w14:paraId="419DBA01" w14:textId="03995D58" w:rsidR="003D68CD" w:rsidRDefault="00070F13" w:rsidP="00C7762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774E5">
              <w:t xml:space="preserve">which occupations are recognized by </w:t>
            </w:r>
            <w:r>
              <w:t>TWC</w:t>
            </w:r>
            <w:r w:rsidRPr="00A774E5">
              <w:t xml:space="preserve"> as an appr</w:t>
            </w:r>
            <w:r>
              <w:t>e</w:t>
            </w:r>
            <w:r w:rsidRPr="00A774E5">
              <w:t xml:space="preserve">nticeable occupation </w:t>
            </w:r>
            <w:r>
              <w:t>for the program</w:t>
            </w:r>
            <w:r w:rsidRPr="00A774E5">
              <w:t xml:space="preserve"> and the criteria for that determination, which must include that the occupation:</w:t>
            </w:r>
          </w:p>
          <w:p w14:paraId="5AF58F34" w14:textId="77777777" w:rsidR="003D68CD" w:rsidRDefault="00070F13" w:rsidP="00C77621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774E5">
              <w:t>be customarily learned in a practical way through a structured, systematic program of on-the-job supervised training;</w:t>
            </w:r>
            <w:r>
              <w:t xml:space="preserve"> </w:t>
            </w:r>
          </w:p>
          <w:p w14:paraId="1983ABBD" w14:textId="77777777" w:rsidR="003D68CD" w:rsidRDefault="00070F13" w:rsidP="00C7762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be clearly identified and commonly recognized throughout an industry;</w:t>
            </w:r>
          </w:p>
          <w:p w14:paraId="6B603013" w14:textId="77777777" w:rsidR="003D68CD" w:rsidRDefault="00070F13" w:rsidP="00C77621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involve manual, mechanical, or technical skills or knowledge which requires significant on-the-job work experience; and</w:t>
            </w:r>
          </w:p>
          <w:p w14:paraId="64212E81" w14:textId="77777777" w:rsidR="003D68CD" w:rsidRDefault="00070F13" w:rsidP="00C77621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related instruction to supplement the on-the-job training; and</w:t>
            </w:r>
          </w:p>
          <w:p w14:paraId="6801F064" w14:textId="77777777" w:rsidR="003D68CD" w:rsidRDefault="00070F13" w:rsidP="00C7762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461A1">
              <w:t xml:space="preserve">a process for and the criteria by which </w:t>
            </w:r>
            <w:r>
              <w:t>TWC</w:t>
            </w:r>
            <w:r w:rsidRPr="002461A1">
              <w:t xml:space="preserve"> may certify a training program as an industry-recognized apprenticeship program for purposes of </w:t>
            </w:r>
            <w:r>
              <w:t>the g</w:t>
            </w:r>
            <w:r w:rsidRPr="002461A1">
              <w:t xml:space="preserve">rant </w:t>
            </w:r>
            <w:r>
              <w:t>p</w:t>
            </w:r>
            <w:r w:rsidRPr="002461A1">
              <w:t>rogram.</w:t>
            </w:r>
          </w:p>
          <w:p w14:paraId="737C44F5" w14:textId="02B20546" w:rsidR="00B335A8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154657">
              <w:t>updates</w:t>
            </w:r>
            <w:r w:rsidR="000041DF">
              <w:t xml:space="preserve"> the definition of "industry-recognized apprenticeship program" accordingly </w:t>
            </w:r>
            <w:r w:rsidR="00154657">
              <w:t xml:space="preserve">to reflect the TWC role in recognizing and certifying such a program and </w:t>
            </w:r>
            <w:r>
              <w:t xml:space="preserve">requires </w:t>
            </w:r>
            <w:r w:rsidR="009269C5">
              <w:t xml:space="preserve">the </w:t>
            </w:r>
            <w:r>
              <w:t>criteria</w:t>
            </w:r>
            <w:r w:rsidR="000041DF">
              <w:t xml:space="preserve"> by which TWC may certify a training program</w:t>
            </w:r>
            <w:r>
              <w:t xml:space="preserve"> to be </w:t>
            </w:r>
            <w:r w:rsidRPr="002461A1">
              <w:t xml:space="preserve">generally consistent with the standards of </w:t>
            </w:r>
            <w:r w:rsidRPr="002461A1">
              <w:t>apprenticeship prescribed by</w:t>
            </w:r>
            <w:r>
              <w:t xml:space="preserve"> federal regulations providing labor standards for the registration of apprenticeship programs. </w:t>
            </w:r>
          </w:p>
          <w:p w14:paraId="24D57D28" w14:textId="77777777" w:rsidR="00B335A8" w:rsidRDefault="00B335A8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2D1C5A" w14:textId="0598D178" w:rsidR="00A774E5" w:rsidRPr="009C36CD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3260 applies only to a grant awarded </w:t>
            </w:r>
            <w:r w:rsidRPr="00A774E5">
              <w:t xml:space="preserve">on or after the </w:t>
            </w:r>
            <w:r>
              <w:t xml:space="preserve">bill's </w:t>
            </w:r>
            <w:r w:rsidRPr="00A774E5">
              <w:t>effective date. A grant awarded before that date is governed by the law in effect on the date the grant was awarded, and the former law is continued in effect for that purpose.</w:t>
            </w:r>
            <w:r>
              <w:t xml:space="preserve"> </w:t>
            </w:r>
          </w:p>
          <w:p w14:paraId="28A62588" w14:textId="77777777" w:rsidR="008423E4" w:rsidRPr="00835628" w:rsidRDefault="008423E4" w:rsidP="00C77621">
            <w:pPr>
              <w:rPr>
                <w:b/>
              </w:rPr>
            </w:pPr>
          </w:p>
        </w:tc>
      </w:tr>
      <w:tr w:rsidR="00A54546" w14:paraId="682E5840" w14:textId="77777777" w:rsidTr="00345119">
        <w:tc>
          <w:tcPr>
            <w:tcW w:w="9576" w:type="dxa"/>
          </w:tcPr>
          <w:p w14:paraId="12DA0822" w14:textId="77777777" w:rsidR="008423E4" w:rsidRPr="00A8133F" w:rsidRDefault="00070F13" w:rsidP="00C776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76B16E" w14:textId="77777777" w:rsidR="008423E4" w:rsidRDefault="008423E4" w:rsidP="00C77621"/>
          <w:p w14:paraId="5181A1D3" w14:textId="5E0893C0" w:rsidR="008423E4" w:rsidRPr="003624F2" w:rsidRDefault="00070F13" w:rsidP="00C77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52A05D3" w14:textId="77777777" w:rsidR="008423E4" w:rsidRPr="00233FDB" w:rsidRDefault="008423E4" w:rsidP="00C77621">
            <w:pPr>
              <w:rPr>
                <w:b/>
              </w:rPr>
            </w:pPr>
          </w:p>
        </w:tc>
      </w:tr>
    </w:tbl>
    <w:p w14:paraId="54FC7EF8" w14:textId="77777777" w:rsidR="008423E4" w:rsidRPr="00BE0E75" w:rsidRDefault="008423E4" w:rsidP="00C77621">
      <w:pPr>
        <w:jc w:val="both"/>
        <w:rPr>
          <w:rFonts w:ascii="Arial" w:hAnsi="Arial"/>
          <w:sz w:val="16"/>
          <w:szCs w:val="16"/>
        </w:rPr>
      </w:pPr>
    </w:p>
    <w:p w14:paraId="759FC343" w14:textId="77777777" w:rsidR="004108C3" w:rsidRPr="008423E4" w:rsidRDefault="004108C3" w:rsidP="00C7762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F677" w14:textId="77777777" w:rsidR="00070F13" w:rsidRDefault="00070F13">
      <w:r>
        <w:separator/>
      </w:r>
    </w:p>
  </w:endnote>
  <w:endnote w:type="continuationSeparator" w:id="0">
    <w:p w14:paraId="2A46590C" w14:textId="77777777" w:rsidR="00070F13" w:rsidRDefault="0007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630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54546" w14:paraId="2C67CE01" w14:textId="77777777" w:rsidTr="009C1E9A">
      <w:trPr>
        <w:cantSplit/>
      </w:trPr>
      <w:tc>
        <w:tcPr>
          <w:tcW w:w="0" w:type="pct"/>
        </w:tcPr>
        <w:p w14:paraId="6013F1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124C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FF0C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7DC0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45A2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4546" w14:paraId="5E7B6A35" w14:textId="77777777" w:rsidTr="009C1E9A">
      <w:trPr>
        <w:cantSplit/>
      </w:trPr>
      <w:tc>
        <w:tcPr>
          <w:tcW w:w="0" w:type="pct"/>
        </w:tcPr>
        <w:p w14:paraId="2556D6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5E9AD3" w14:textId="6341945F" w:rsidR="00EC379B" w:rsidRPr="009C1E9A" w:rsidRDefault="00070F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22414-D</w:t>
          </w:r>
        </w:p>
      </w:tc>
      <w:tc>
        <w:tcPr>
          <w:tcW w:w="2453" w:type="pct"/>
        </w:tcPr>
        <w:p w14:paraId="3B664BEC" w14:textId="6FE2450D" w:rsidR="00EC379B" w:rsidRDefault="00070F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212F">
            <w:t>25.93.228</w:t>
          </w:r>
          <w:r>
            <w:fldChar w:fldCharType="end"/>
          </w:r>
        </w:p>
      </w:tc>
    </w:tr>
    <w:tr w:rsidR="00A54546" w14:paraId="41C06F67" w14:textId="77777777" w:rsidTr="009C1E9A">
      <w:trPr>
        <w:cantSplit/>
      </w:trPr>
      <w:tc>
        <w:tcPr>
          <w:tcW w:w="0" w:type="pct"/>
        </w:tcPr>
        <w:p w14:paraId="3FA66C6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99ED5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232B3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0A71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4546" w14:paraId="5E98199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7E9D02" w14:textId="77777777" w:rsidR="00EC379B" w:rsidRDefault="00070F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5A20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1AFA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350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2F35" w14:textId="77777777" w:rsidR="00070F13" w:rsidRDefault="00070F13">
      <w:r>
        <w:separator/>
      </w:r>
    </w:p>
  </w:footnote>
  <w:footnote w:type="continuationSeparator" w:id="0">
    <w:p w14:paraId="5A369D4B" w14:textId="77777777" w:rsidR="00070F13" w:rsidRDefault="0007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2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F3D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B32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58B"/>
    <w:multiLevelType w:val="hybridMultilevel"/>
    <w:tmpl w:val="6A4C3C92"/>
    <w:lvl w:ilvl="0" w:tplc="2D126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4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A3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F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AC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4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0F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69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C2"/>
    <w:multiLevelType w:val="hybridMultilevel"/>
    <w:tmpl w:val="3714444A"/>
    <w:lvl w:ilvl="0" w:tplc="E6389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1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0E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E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1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2E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E9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49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174">
    <w:abstractNumId w:val="0"/>
  </w:num>
  <w:num w:numId="2" w16cid:durableId="73762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44"/>
    <w:rsid w:val="00000A70"/>
    <w:rsid w:val="000032B8"/>
    <w:rsid w:val="00003B06"/>
    <w:rsid w:val="000041DF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3C8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259"/>
    <w:rsid w:val="000608B0"/>
    <w:rsid w:val="0006104C"/>
    <w:rsid w:val="00064BF2"/>
    <w:rsid w:val="000667BA"/>
    <w:rsid w:val="000676A7"/>
    <w:rsid w:val="00070F13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C3C"/>
    <w:rsid w:val="000D2EBA"/>
    <w:rsid w:val="000D32A1"/>
    <w:rsid w:val="000D3725"/>
    <w:rsid w:val="000D46E5"/>
    <w:rsid w:val="000D769C"/>
    <w:rsid w:val="000E1976"/>
    <w:rsid w:val="000E20F1"/>
    <w:rsid w:val="000E36CA"/>
    <w:rsid w:val="000E5B20"/>
    <w:rsid w:val="000E7C14"/>
    <w:rsid w:val="000F094C"/>
    <w:rsid w:val="000F1392"/>
    <w:rsid w:val="000F18A2"/>
    <w:rsid w:val="000F2A7F"/>
    <w:rsid w:val="000F3DBD"/>
    <w:rsid w:val="000F475C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1CF"/>
    <w:rsid w:val="00127893"/>
    <w:rsid w:val="001312BB"/>
    <w:rsid w:val="00137D90"/>
    <w:rsid w:val="00141FB6"/>
    <w:rsid w:val="00142F8E"/>
    <w:rsid w:val="00143C8B"/>
    <w:rsid w:val="00147530"/>
    <w:rsid w:val="0015331F"/>
    <w:rsid w:val="0015465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AC6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23D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469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D8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738"/>
    <w:rsid w:val="002461A1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49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96"/>
    <w:rsid w:val="002E1D4B"/>
    <w:rsid w:val="002E21B8"/>
    <w:rsid w:val="002E2D72"/>
    <w:rsid w:val="002E7DF9"/>
    <w:rsid w:val="002F097B"/>
    <w:rsid w:val="002F2147"/>
    <w:rsid w:val="002F3111"/>
    <w:rsid w:val="002F3A01"/>
    <w:rsid w:val="002F3EF3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C8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F4D"/>
    <w:rsid w:val="003C36FD"/>
    <w:rsid w:val="003C664C"/>
    <w:rsid w:val="003D68CD"/>
    <w:rsid w:val="003D726D"/>
    <w:rsid w:val="003D75AD"/>
    <w:rsid w:val="003E0875"/>
    <w:rsid w:val="003E0BB8"/>
    <w:rsid w:val="003E43F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12F"/>
    <w:rsid w:val="00412ED2"/>
    <w:rsid w:val="00412F0F"/>
    <w:rsid w:val="004134CE"/>
    <w:rsid w:val="004136A8"/>
    <w:rsid w:val="00415139"/>
    <w:rsid w:val="004166BB"/>
    <w:rsid w:val="004174CD"/>
    <w:rsid w:val="00422039"/>
    <w:rsid w:val="00423F79"/>
    <w:rsid w:val="00423FBC"/>
    <w:rsid w:val="004241AA"/>
    <w:rsid w:val="0042422E"/>
    <w:rsid w:val="004279E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18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F44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173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DD9"/>
    <w:rsid w:val="00573401"/>
    <w:rsid w:val="00576714"/>
    <w:rsid w:val="0057685A"/>
    <w:rsid w:val="005832EE"/>
    <w:rsid w:val="005847EF"/>
    <w:rsid w:val="005851E6"/>
    <w:rsid w:val="005878B7"/>
    <w:rsid w:val="00592C9A"/>
    <w:rsid w:val="00593D2D"/>
    <w:rsid w:val="00593DF8"/>
    <w:rsid w:val="00595745"/>
    <w:rsid w:val="005A0E18"/>
    <w:rsid w:val="005A12A5"/>
    <w:rsid w:val="005A3790"/>
    <w:rsid w:val="005A3CCB"/>
    <w:rsid w:val="005A6D13"/>
    <w:rsid w:val="005A7207"/>
    <w:rsid w:val="005B031F"/>
    <w:rsid w:val="005B0CFA"/>
    <w:rsid w:val="005B3298"/>
    <w:rsid w:val="005B3C13"/>
    <w:rsid w:val="005B5516"/>
    <w:rsid w:val="005B5D2B"/>
    <w:rsid w:val="005C1496"/>
    <w:rsid w:val="005C17C5"/>
    <w:rsid w:val="005C2B21"/>
    <w:rsid w:val="005C2C00"/>
    <w:rsid w:val="005C4709"/>
    <w:rsid w:val="005C4C6F"/>
    <w:rsid w:val="005C4FA0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CF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15B"/>
    <w:rsid w:val="00685DC9"/>
    <w:rsid w:val="00687465"/>
    <w:rsid w:val="006907CF"/>
    <w:rsid w:val="00691CCF"/>
    <w:rsid w:val="00693AFA"/>
    <w:rsid w:val="00695101"/>
    <w:rsid w:val="00695B9A"/>
    <w:rsid w:val="00696511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B8B"/>
    <w:rsid w:val="006C4709"/>
    <w:rsid w:val="006C4967"/>
    <w:rsid w:val="006C5855"/>
    <w:rsid w:val="006D195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31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BF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BB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1B6"/>
    <w:rsid w:val="008806EB"/>
    <w:rsid w:val="008826F2"/>
    <w:rsid w:val="008845BA"/>
    <w:rsid w:val="00884AE3"/>
    <w:rsid w:val="00885203"/>
    <w:rsid w:val="008859CA"/>
    <w:rsid w:val="008861EE"/>
    <w:rsid w:val="0089073A"/>
    <w:rsid w:val="00890B59"/>
    <w:rsid w:val="008930D7"/>
    <w:rsid w:val="008947A7"/>
    <w:rsid w:val="00897E80"/>
    <w:rsid w:val="008A04FA"/>
    <w:rsid w:val="008A3188"/>
    <w:rsid w:val="008A3FDF"/>
    <w:rsid w:val="008A602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AFA"/>
    <w:rsid w:val="008C3FD0"/>
    <w:rsid w:val="008C4921"/>
    <w:rsid w:val="008D27A5"/>
    <w:rsid w:val="008D2AAB"/>
    <w:rsid w:val="008D309C"/>
    <w:rsid w:val="008D58F9"/>
    <w:rsid w:val="008D7427"/>
    <w:rsid w:val="008E3338"/>
    <w:rsid w:val="008E47BE"/>
    <w:rsid w:val="008E5FB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9C5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522"/>
    <w:rsid w:val="009E3631"/>
    <w:rsid w:val="009E3EB9"/>
    <w:rsid w:val="009E41CA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046"/>
    <w:rsid w:val="00A41085"/>
    <w:rsid w:val="00A425FA"/>
    <w:rsid w:val="00A43960"/>
    <w:rsid w:val="00A46902"/>
    <w:rsid w:val="00A50CDB"/>
    <w:rsid w:val="00A51F3E"/>
    <w:rsid w:val="00A5364B"/>
    <w:rsid w:val="00A54142"/>
    <w:rsid w:val="00A54546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4E5"/>
    <w:rsid w:val="00A803CF"/>
    <w:rsid w:val="00A8133F"/>
    <w:rsid w:val="00A82CB4"/>
    <w:rsid w:val="00A837A8"/>
    <w:rsid w:val="00A83C36"/>
    <w:rsid w:val="00A932BB"/>
    <w:rsid w:val="00A93579"/>
    <w:rsid w:val="00A93934"/>
    <w:rsid w:val="00A9446D"/>
    <w:rsid w:val="00A95D51"/>
    <w:rsid w:val="00AA18AE"/>
    <w:rsid w:val="00AA228B"/>
    <w:rsid w:val="00AA597A"/>
    <w:rsid w:val="00AA66AD"/>
    <w:rsid w:val="00AA67A3"/>
    <w:rsid w:val="00AA7E52"/>
    <w:rsid w:val="00AB0BF9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F8C"/>
    <w:rsid w:val="00AD09CD"/>
    <w:rsid w:val="00AD304B"/>
    <w:rsid w:val="00AD432A"/>
    <w:rsid w:val="00AD4497"/>
    <w:rsid w:val="00AD7780"/>
    <w:rsid w:val="00AE2263"/>
    <w:rsid w:val="00AE248E"/>
    <w:rsid w:val="00AE2D12"/>
    <w:rsid w:val="00AE2F06"/>
    <w:rsid w:val="00AE4F1C"/>
    <w:rsid w:val="00AF1433"/>
    <w:rsid w:val="00AF33B4"/>
    <w:rsid w:val="00AF48B4"/>
    <w:rsid w:val="00AF4923"/>
    <w:rsid w:val="00AF5AC3"/>
    <w:rsid w:val="00AF7C74"/>
    <w:rsid w:val="00B000AF"/>
    <w:rsid w:val="00B0033C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35A8"/>
    <w:rsid w:val="00B34F25"/>
    <w:rsid w:val="00B43672"/>
    <w:rsid w:val="00B473D8"/>
    <w:rsid w:val="00B47464"/>
    <w:rsid w:val="00B5165A"/>
    <w:rsid w:val="00B524C1"/>
    <w:rsid w:val="00B52C8D"/>
    <w:rsid w:val="00B564BF"/>
    <w:rsid w:val="00B602D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2A1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1F1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0D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71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621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B98"/>
    <w:rsid w:val="00CF4827"/>
    <w:rsid w:val="00CF4C69"/>
    <w:rsid w:val="00CF581C"/>
    <w:rsid w:val="00CF71E0"/>
    <w:rsid w:val="00D001B1"/>
    <w:rsid w:val="00D03176"/>
    <w:rsid w:val="00D039AD"/>
    <w:rsid w:val="00D03AD5"/>
    <w:rsid w:val="00D06088"/>
    <w:rsid w:val="00D060A8"/>
    <w:rsid w:val="00D06605"/>
    <w:rsid w:val="00D0720F"/>
    <w:rsid w:val="00D074E2"/>
    <w:rsid w:val="00D11B0B"/>
    <w:rsid w:val="00D12A3E"/>
    <w:rsid w:val="00D20BE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2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BF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55C"/>
    <w:rsid w:val="00E87A99"/>
    <w:rsid w:val="00E87ED7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831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DB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734197-3494-4A61-BD27-26EE9AAE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7F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7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F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7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7F44"/>
    <w:rPr>
      <w:b/>
      <w:bCs/>
    </w:rPr>
  </w:style>
  <w:style w:type="character" w:styleId="Hyperlink">
    <w:name w:val="Hyperlink"/>
    <w:basedOn w:val="DefaultParagraphFont"/>
    <w:unhideWhenUsed/>
    <w:rsid w:val="002461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1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F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3538</Characters>
  <Application>Microsoft Office Word</Application>
  <DocSecurity>0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HB03260 (Committee Report (Unamended))</vt:lpstr>
    </vt:vector>
  </TitlesOfParts>
  <Company>State of Texas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22414</dc:subject>
  <dc:creator>State of Texas</dc:creator>
  <dc:description>HB 3260 by Bell, Keith-(H)Trade, Workforce &amp; Economic Development</dc:description>
  <cp:lastModifiedBy>Vanessa Andrade</cp:lastModifiedBy>
  <cp:revision>2</cp:revision>
  <cp:lastPrinted>2003-11-26T17:21:00Z</cp:lastPrinted>
  <dcterms:created xsi:type="dcterms:W3CDTF">2025-04-10T15:41:00Z</dcterms:created>
  <dcterms:modified xsi:type="dcterms:W3CDTF">2025-04-10T15:41:00Z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25.93.228</vt:lpwstr>
  </property>
</Properties>
</file>