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6970" w:rsidRDefault="00E6697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0B13553E7D648A190AFF4D53966051F"/>
          </w:placeholder>
        </w:sdtPr>
        <w:sdtContent>
          <w:r w:rsidRPr="005C2A78">
            <w:rPr>
              <w:rFonts w:cs="Times New Roman"/>
              <w:b/>
              <w:szCs w:val="24"/>
              <w:u w:val="single"/>
            </w:rPr>
            <w:t>BILL ANALYSIS</w:t>
          </w:r>
        </w:sdtContent>
      </w:sdt>
    </w:p>
    <w:p w:rsidR="00E66970" w:rsidRPr="00585C31" w:rsidRDefault="00E66970" w:rsidP="000F1DF9">
      <w:pPr>
        <w:spacing w:after="0" w:line="240" w:lineRule="auto"/>
        <w:rPr>
          <w:rFonts w:cs="Times New Roman"/>
          <w:szCs w:val="24"/>
        </w:rPr>
      </w:pPr>
    </w:p>
    <w:p w:rsidR="00E66970" w:rsidRPr="00585C31" w:rsidRDefault="00E6697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66970" w:rsidTr="000F1DF9">
        <w:tc>
          <w:tcPr>
            <w:tcW w:w="2718" w:type="dxa"/>
          </w:tcPr>
          <w:p w:rsidR="00E66970" w:rsidRPr="005C2A78" w:rsidRDefault="00E66970" w:rsidP="006D756B">
            <w:pPr>
              <w:rPr>
                <w:rFonts w:cs="Times New Roman"/>
                <w:szCs w:val="24"/>
              </w:rPr>
            </w:pPr>
            <w:sdt>
              <w:sdtPr>
                <w:rPr>
                  <w:rFonts w:cs="Times New Roman"/>
                  <w:szCs w:val="24"/>
                </w:rPr>
                <w:alias w:val="Agency Title"/>
                <w:tag w:val="AgencyTitleContentControl"/>
                <w:id w:val="1920747753"/>
                <w:lock w:val="sdtContentLocked"/>
                <w:placeholder>
                  <w:docPart w:val="0558887F73D64F49893A328529B99542"/>
                </w:placeholder>
              </w:sdtPr>
              <w:sdtEndPr>
                <w:rPr>
                  <w:rFonts w:cstheme="minorBidi"/>
                  <w:szCs w:val="22"/>
                </w:rPr>
              </w:sdtEndPr>
              <w:sdtContent>
                <w:r>
                  <w:rPr>
                    <w:rFonts w:cs="Times New Roman"/>
                    <w:szCs w:val="24"/>
                  </w:rPr>
                  <w:t>Senate Research Center</w:t>
                </w:r>
              </w:sdtContent>
            </w:sdt>
          </w:p>
        </w:tc>
        <w:tc>
          <w:tcPr>
            <w:tcW w:w="6858" w:type="dxa"/>
          </w:tcPr>
          <w:p w:rsidR="00E66970" w:rsidRPr="00FF6471" w:rsidRDefault="00E66970" w:rsidP="000F1DF9">
            <w:pPr>
              <w:jc w:val="right"/>
              <w:rPr>
                <w:rFonts w:cs="Times New Roman"/>
                <w:szCs w:val="24"/>
              </w:rPr>
            </w:pPr>
            <w:sdt>
              <w:sdtPr>
                <w:rPr>
                  <w:rFonts w:cs="Times New Roman"/>
                  <w:szCs w:val="24"/>
                </w:rPr>
                <w:alias w:val="Bill Number"/>
                <w:tag w:val="BillNumberOne"/>
                <w:id w:val="-410784069"/>
                <w:lock w:val="sdtContentLocked"/>
                <w:placeholder>
                  <w:docPart w:val="CB2D242B916240969B8A543F0B839794"/>
                </w:placeholder>
              </w:sdtPr>
              <w:sdtContent>
                <w:r>
                  <w:rPr>
                    <w:rFonts w:cs="Times New Roman"/>
                    <w:szCs w:val="24"/>
                  </w:rPr>
                  <w:t>H.B. 3376</w:t>
                </w:r>
              </w:sdtContent>
            </w:sdt>
          </w:p>
        </w:tc>
      </w:tr>
      <w:tr w:rsidR="00E66970" w:rsidTr="000F1DF9">
        <w:sdt>
          <w:sdtPr>
            <w:rPr>
              <w:rFonts w:cs="Times New Roman"/>
              <w:szCs w:val="24"/>
            </w:rPr>
            <w:alias w:val="TLCNumber"/>
            <w:tag w:val="TLCNumber"/>
            <w:id w:val="-542600604"/>
            <w:lock w:val="sdtLocked"/>
            <w:placeholder>
              <w:docPart w:val="E31503D3C87C435CB6F0F288FBF8ECB6"/>
            </w:placeholder>
          </w:sdtPr>
          <w:sdtContent>
            <w:tc>
              <w:tcPr>
                <w:tcW w:w="2718" w:type="dxa"/>
              </w:tcPr>
              <w:p w:rsidR="00E66970" w:rsidRPr="000F1DF9" w:rsidRDefault="00E66970" w:rsidP="00C65088">
                <w:pPr>
                  <w:rPr>
                    <w:rFonts w:cs="Times New Roman"/>
                    <w:szCs w:val="24"/>
                  </w:rPr>
                </w:pPr>
                <w:r w:rsidRPr="000020EC">
                  <w:rPr>
                    <w:rFonts w:cs="Times New Roman"/>
                    <w:szCs w:val="24"/>
                  </w:rPr>
                  <w:t>89R21524 EAS-D</w:t>
                </w:r>
              </w:p>
            </w:tc>
          </w:sdtContent>
        </w:sdt>
        <w:tc>
          <w:tcPr>
            <w:tcW w:w="6858" w:type="dxa"/>
          </w:tcPr>
          <w:p w:rsidR="00E66970" w:rsidRPr="005C2A78" w:rsidRDefault="00E66970" w:rsidP="00073EDD">
            <w:pPr>
              <w:jc w:val="right"/>
              <w:rPr>
                <w:rFonts w:cs="Times New Roman"/>
                <w:szCs w:val="24"/>
              </w:rPr>
            </w:pPr>
            <w:sdt>
              <w:sdtPr>
                <w:rPr>
                  <w:rFonts w:cs="Times New Roman"/>
                  <w:szCs w:val="24"/>
                </w:rPr>
                <w:alias w:val="Author Label"/>
                <w:tag w:val="By"/>
                <w:id w:val="72399597"/>
                <w:lock w:val="sdtLocked"/>
                <w:placeholder>
                  <w:docPart w:val="329ED1C814DE4D4BBC468126B5C4273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CF877FD05340BD97A72D7968C5E048"/>
                </w:placeholder>
              </w:sdtPr>
              <w:sdtContent>
                <w:r>
                  <w:rPr>
                    <w:rFonts w:cs="Times New Roman"/>
                    <w:szCs w:val="24"/>
                  </w:rPr>
                  <w:t>Capriglione</w:t>
                </w:r>
              </w:sdtContent>
            </w:sdt>
            <w:sdt>
              <w:sdtPr>
                <w:rPr>
                  <w:rFonts w:cs="Times New Roman"/>
                  <w:szCs w:val="24"/>
                </w:rPr>
                <w:alias w:val="Sponsor"/>
                <w:tag w:val="Sponsor"/>
                <w:id w:val="-2039656131"/>
                <w:lock w:val="sdtContentLocked"/>
                <w:placeholder>
                  <w:docPart w:val="E23E9406881448AC807B84EBE1A53654"/>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C85DB5A6151D4C259B834BBFC744399F"/>
                </w:placeholder>
                <w:showingPlcHdr/>
              </w:sdtPr>
              <w:sdtContent/>
            </w:sdt>
          </w:p>
        </w:tc>
      </w:tr>
      <w:tr w:rsidR="00E66970" w:rsidTr="000F1DF9">
        <w:tc>
          <w:tcPr>
            <w:tcW w:w="2718" w:type="dxa"/>
          </w:tcPr>
          <w:p w:rsidR="00E66970" w:rsidRPr="00BC7495" w:rsidRDefault="00E66970" w:rsidP="000F1DF9">
            <w:pPr>
              <w:rPr>
                <w:rFonts w:cs="Times New Roman"/>
                <w:szCs w:val="24"/>
              </w:rPr>
            </w:pPr>
          </w:p>
        </w:tc>
        <w:sdt>
          <w:sdtPr>
            <w:rPr>
              <w:rFonts w:cs="Times New Roman"/>
              <w:szCs w:val="24"/>
            </w:rPr>
            <w:alias w:val="Committee"/>
            <w:tag w:val="Committee"/>
            <w:id w:val="1914272295"/>
            <w:lock w:val="sdtContentLocked"/>
            <w:placeholder>
              <w:docPart w:val="1C886D5C6A214F12818BB3C5E0D30EAF"/>
            </w:placeholder>
          </w:sdtPr>
          <w:sdtContent>
            <w:tc>
              <w:tcPr>
                <w:tcW w:w="6858" w:type="dxa"/>
              </w:tcPr>
              <w:p w:rsidR="00E66970" w:rsidRPr="00FF6471" w:rsidRDefault="00E66970" w:rsidP="000F1DF9">
                <w:pPr>
                  <w:jc w:val="right"/>
                  <w:rPr>
                    <w:rFonts w:cs="Times New Roman"/>
                    <w:szCs w:val="24"/>
                  </w:rPr>
                </w:pPr>
                <w:r>
                  <w:rPr>
                    <w:rFonts w:cs="Times New Roman"/>
                    <w:szCs w:val="24"/>
                  </w:rPr>
                  <w:t>Jurisprudence</w:t>
                </w:r>
              </w:p>
            </w:tc>
          </w:sdtContent>
        </w:sdt>
      </w:tr>
      <w:tr w:rsidR="00E66970" w:rsidTr="000F1DF9">
        <w:tc>
          <w:tcPr>
            <w:tcW w:w="2718" w:type="dxa"/>
          </w:tcPr>
          <w:p w:rsidR="00E66970" w:rsidRPr="00BC7495" w:rsidRDefault="00E66970" w:rsidP="000F1DF9">
            <w:pPr>
              <w:rPr>
                <w:rFonts w:cs="Times New Roman"/>
                <w:szCs w:val="24"/>
              </w:rPr>
            </w:pPr>
          </w:p>
        </w:tc>
        <w:sdt>
          <w:sdtPr>
            <w:rPr>
              <w:rFonts w:cs="Times New Roman"/>
              <w:szCs w:val="24"/>
            </w:rPr>
            <w:alias w:val="Date"/>
            <w:tag w:val="DateContentControl"/>
            <w:id w:val="1178081906"/>
            <w:lock w:val="sdtLocked"/>
            <w:placeholder>
              <w:docPart w:val="C13D26E6331941AB87482CE15D944C36"/>
            </w:placeholder>
            <w:date w:fullDate="2025-05-05T00:00:00Z">
              <w:dateFormat w:val="M/d/yyyy"/>
              <w:lid w:val="en-US"/>
              <w:storeMappedDataAs w:val="dateTime"/>
              <w:calendar w:val="gregorian"/>
            </w:date>
          </w:sdtPr>
          <w:sdtContent>
            <w:tc>
              <w:tcPr>
                <w:tcW w:w="6858" w:type="dxa"/>
              </w:tcPr>
              <w:p w:rsidR="00E66970" w:rsidRPr="00FF6471" w:rsidRDefault="00E66970" w:rsidP="000F1DF9">
                <w:pPr>
                  <w:jc w:val="right"/>
                  <w:rPr>
                    <w:rFonts w:cs="Times New Roman"/>
                    <w:szCs w:val="24"/>
                  </w:rPr>
                </w:pPr>
                <w:r>
                  <w:rPr>
                    <w:rFonts w:cs="Times New Roman"/>
                    <w:szCs w:val="24"/>
                  </w:rPr>
                  <w:t>5/5/2025</w:t>
                </w:r>
              </w:p>
            </w:tc>
          </w:sdtContent>
        </w:sdt>
      </w:tr>
      <w:tr w:rsidR="00E66970" w:rsidTr="000F1DF9">
        <w:tc>
          <w:tcPr>
            <w:tcW w:w="2718" w:type="dxa"/>
          </w:tcPr>
          <w:p w:rsidR="00E66970" w:rsidRPr="00BC7495" w:rsidRDefault="00E66970" w:rsidP="000F1DF9">
            <w:pPr>
              <w:rPr>
                <w:rFonts w:cs="Times New Roman"/>
                <w:szCs w:val="24"/>
              </w:rPr>
            </w:pPr>
          </w:p>
        </w:tc>
        <w:sdt>
          <w:sdtPr>
            <w:rPr>
              <w:rFonts w:cs="Times New Roman"/>
              <w:szCs w:val="24"/>
            </w:rPr>
            <w:alias w:val="BA Version"/>
            <w:tag w:val="BAVersion"/>
            <w:id w:val="-1685590809"/>
            <w:lock w:val="sdtContentLocked"/>
            <w:placeholder>
              <w:docPart w:val="9FADAC5B9609423D9F647693E7E7F90A"/>
            </w:placeholder>
          </w:sdtPr>
          <w:sdtContent>
            <w:tc>
              <w:tcPr>
                <w:tcW w:w="6858" w:type="dxa"/>
              </w:tcPr>
              <w:p w:rsidR="00E66970" w:rsidRPr="00FF6471" w:rsidRDefault="00E66970" w:rsidP="000F1DF9">
                <w:pPr>
                  <w:jc w:val="right"/>
                  <w:rPr>
                    <w:rFonts w:cs="Times New Roman"/>
                    <w:szCs w:val="24"/>
                  </w:rPr>
                </w:pPr>
                <w:r>
                  <w:rPr>
                    <w:rFonts w:cs="Times New Roman"/>
                    <w:szCs w:val="24"/>
                  </w:rPr>
                  <w:t>Engrossed</w:t>
                </w:r>
              </w:p>
            </w:tc>
          </w:sdtContent>
        </w:sdt>
      </w:tr>
    </w:tbl>
    <w:p w:rsidR="00E66970" w:rsidRPr="00FF6471" w:rsidRDefault="00E66970" w:rsidP="000F1DF9">
      <w:pPr>
        <w:spacing w:after="0" w:line="240" w:lineRule="auto"/>
        <w:rPr>
          <w:rFonts w:cs="Times New Roman"/>
          <w:szCs w:val="24"/>
        </w:rPr>
      </w:pPr>
    </w:p>
    <w:p w:rsidR="00E66970" w:rsidRPr="00FF6471" w:rsidRDefault="00E66970" w:rsidP="000F1DF9">
      <w:pPr>
        <w:spacing w:after="0" w:line="240" w:lineRule="auto"/>
        <w:rPr>
          <w:rFonts w:cs="Times New Roman"/>
          <w:szCs w:val="24"/>
        </w:rPr>
      </w:pPr>
    </w:p>
    <w:p w:rsidR="00E66970" w:rsidRPr="00FF6471" w:rsidRDefault="00E6697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2867D52787645E8952D8C8A6F6655CC"/>
        </w:placeholder>
      </w:sdtPr>
      <w:sdtContent>
        <w:p w:rsidR="00E66970" w:rsidRDefault="00E6697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6920232EFB842A6B0E085D5589D172A"/>
        </w:placeholder>
      </w:sdtPr>
      <w:sdtContent>
        <w:p w:rsidR="00E66970" w:rsidRDefault="00E66970" w:rsidP="00E66970">
          <w:pPr>
            <w:pStyle w:val="NormalWeb"/>
            <w:spacing w:before="0" w:beforeAutospacing="0" w:after="0" w:afterAutospacing="0"/>
            <w:jc w:val="both"/>
            <w:divId w:val="1918057287"/>
            <w:rPr>
              <w:rFonts w:eastAsia="Times New Roman"/>
              <w:bCs/>
            </w:rPr>
          </w:pPr>
        </w:p>
        <w:p w:rsidR="00E66970" w:rsidRPr="00B14A19" w:rsidRDefault="00E66970" w:rsidP="00E66970">
          <w:pPr>
            <w:pStyle w:val="NormalWeb"/>
            <w:spacing w:before="0" w:beforeAutospacing="0" w:after="0" w:afterAutospacing="0"/>
            <w:jc w:val="both"/>
            <w:divId w:val="1918057287"/>
          </w:pPr>
          <w:r w:rsidRPr="00B14A19">
            <w:t>Family-member guardians often care for persons with Alzheimer</w:t>
          </w:r>
          <w:r>
            <w:t>'</w:t>
          </w:r>
          <w:r w:rsidRPr="00B14A19">
            <w:t>s disease and dementia but lack the necessary training to manage these conditions. While Texas law requires them to complete training before appointment, it does not include dementia-specific education, leaving many unprepared to recognize symptoms, communicate effectively, and provide appropriate care.</w:t>
          </w:r>
        </w:p>
        <w:p w:rsidR="00E66970" w:rsidRPr="00B14A19" w:rsidRDefault="00E66970" w:rsidP="00E66970">
          <w:pPr>
            <w:pStyle w:val="NormalWeb"/>
            <w:spacing w:before="0" w:beforeAutospacing="0" w:after="0" w:afterAutospacing="0"/>
            <w:jc w:val="both"/>
            <w:divId w:val="1918057287"/>
          </w:pPr>
          <w:r w:rsidRPr="00B14A19">
            <w:t> </w:t>
          </w:r>
        </w:p>
        <w:p w:rsidR="00E66970" w:rsidRDefault="00E66970" w:rsidP="00E66970">
          <w:pPr>
            <w:pStyle w:val="NormalWeb"/>
            <w:spacing w:before="0" w:beforeAutospacing="0" w:after="0" w:afterAutospacing="0"/>
            <w:jc w:val="both"/>
            <w:divId w:val="1918057287"/>
          </w:pPr>
          <w:r>
            <w:t xml:space="preserve">H.B. </w:t>
          </w:r>
          <w:r w:rsidRPr="00B14A19">
            <w:t>3376 would address this gap by requiring a one-hour training on Alzheimer</w:t>
          </w:r>
          <w:r>
            <w:t>'s</w:t>
          </w:r>
          <w:r w:rsidRPr="00B14A19">
            <w:t xml:space="preserve"> and dementia care for family-member guardians. This course would cover early signs of dementia, best practices for communication, and strategies to support affected persons while preserving their rights and dignity.</w:t>
          </w:r>
        </w:p>
        <w:p w:rsidR="00E66970" w:rsidRPr="00B14A19" w:rsidRDefault="00E66970" w:rsidP="00E66970">
          <w:pPr>
            <w:pStyle w:val="NormalWeb"/>
            <w:spacing w:before="0" w:beforeAutospacing="0" w:after="0" w:afterAutospacing="0"/>
            <w:jc w:val="both"/>
            <w:divId w:val="1918057287"/>
          </w:pPr>
        </w:p>
        <w:p w:rsidR="00E66970" w:rsidRPr="00B14A19" w:rsidRDefault="00E66970" w:rsidP="00E66970">
          <w:pPr>
            <w:pStyle w:val="NormalWeb"/>
            <w:spacing w:before="0" w:beforeAutospacing="0" w:after="0" w:afterAutospacing="0"/>
            <w:jc w:val="both"/>
            <w:divId w:val="1918057287"/>
          </w:pPr>
          <w:r w:rsidRPr="00B14A19">
            <w:t>By incorporating dementia education into the required training, H</w:t>
          </w:r>
          <w:r>
            <w:t>.</w:t>
          </w:r>
          <w:r w:rsidRPr="00B14A19">
            <w:t>B</w:t>
          </w:r>
          <w:r>
            <w:t>.</w:t>
          </w:r>
          <w:r w:rsidRPr="00B14A19">
            <w:t xml:space="preserve"> 3376 would ensure that family-member guardians are better prepared to care for loved ones with cognitive decline. Providing this training online at no cost makes it more accessible, reducing barriers and improving the quality of care for persons under guardianship.</w:t>
          </w:r>
        </w:p>
        <w:p w:rsidR="00E66970" w:rsidRPr="00D70925" w:rsidRDefault="00E66970" w:rsidP="00E66970">
          <w:pPr>
            <w:spacing w:after="0" w:line="240" w:lineRule="auto"/>
            <w:jc w:val="both"/>
            <w:rPr>
              <w:rFonts w:eastAsia="Times New Roman" w:cs="Times New Roman"/>
              <w:bCs/>
              <w:szCs w:val="24"/>
            </w:rPr>
          </w:pPr>
        </w:p>
      </w:sdtContent>
    </w:sdt>
    <w:p w:rsidR="00E66970" w:rsidRDefault="00E66970" w:rsidP="00E66970">
      <w:pPr>
        <w:spacing w:after="0" w:line="240" w:lineRule="auto"/>
        <w:jc w:val="both"/>
        <w:rPr>
          <w:rFonts w:cs="Times New Roman"/>
          <w:szCs w:val="24"/>
        </w:rPr>
      </w:pPr>
      <w:bookmarkStart w:id="0" w:name="EnrolledProposed"/>
      <w:bookmarkEnd w:id="0"/>
      <w:r>
        <w:rPr>
          <w:rFonts w:cs="Times New Roman"/>
          <w:szCs w:val="24"/>
        </w:rPr>
        <w:t xml:space="preserve">H.B. 3376 </w:t>
      </w:r>
      <w:bookmarkStart w:id="1" w:name="AmendsCurrentLaw"/>
      <w:bookmarkEnd w:id="1"/>
      <w:r>
        <w:rPr>
          <w:rFonts w:cs="Times New Roman"/>
          <w:szCs w:val="24"/>
        </w:rPr>
        <w:t>amends current law relating to training on Alzheimer's disease, dementia, and related disorders for certain guardians.</w:t>
      </w:r>
    </w:p>
    <w:p w:rsidR="00E66970" w:rsidRPr="00E66970" w:rsidRDefault="00E66970" w:rsidP="00E66970">
      <w:pPr>
        <w:spacing w:after="0" w:line="240" w:lineRule="auto"/>
        <w:jc w:val="both"/>
        <w:rPr>
          <w:rFonts w:eastAsia="Times New Roman" w:cs="Times New Roman"/>
          <w:b/>
          <w:szCs w:val="24"/>
          <w:u w:val="single"/>
        </w:rPr>
      </w:pPr>
    </w:p>
    <w:p w:rsidR="00E66970" w:rsidRPr="005C2A78" w:rsidRDefault="00E66970" w:rsidP="00B14A19">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4D9A30B41B242D29BFBBF49D60F6193"/>
          </w:placeholder>
        </w:sdtPr>
        <w:sdtContent>
          <w:r>
            <w:rPr>
              <w:rFonts w:eastAsia="Times New Roman" w:cs="Times New Roman"/>
              <w:b/>
              <w:szCs w:val="24"/>
              <w:u w:val="single"/>
            </w:rPr>
            <w:t>RULEMAKING AUTHORITY</w:t>
          </w:r>
        </w:sdtContent>
      </w:sdt>
    </w:p>
    <w:p w:rsidR="00E66970" w:rsidRDefault="00E66970" w:rsidP="00E66970">
      <w:pPr>
        <w:spacing w:after="0" w:line="240" w:lineRule="auto"/>
        <w:jc w:val="both"/>
        <w:rPr>
          <w:rFonts w:cs="Times New Roman"/>
          <w:szCs w:val="24"/>
        </w:rPr>
      </w:pPr>
      <w:r>
        <w:rPr>
          <w:rFonts w:cs="Times New Roman"/>
          <w:szCs w:val="24"/>
        </w:rPr>
        <w:t xml:space="preserve">Rulemaking authority previously granted to </w:t>
      </w:r>
      <w:r w:rsidRPr="00E66970">
        <w:rPr>
          <w:rFonts w:cs="Times New Roman"/>
          <w:szCs w:val="24"/>
        </w:rPr>
        <w:t>the Supreme Court of Texas</w:t>
      </w:r>
      <w:r>
        <w:rPr>
          <w:rFonts w:cs="Times New Roman"/>
          <w:szCs w:val="24"/>
        </w:rPr>
        <w:t xml:space="preserve"> is modified in SECTION 1 (Section </w:t>
      </w:r>
      <w:r w:rsidRPr="00E66970">
        <w:rPr>
          <w:rFonts w:cs="Times New Roman"/>
          <w:szCs w:val="24"/>
        </w:rPr>
        <w:t>155.203</w:t>
      </w:r>
      <w:r>
        <w:rPr>
          <w:rFonts w:cs="Times New Roman"/>
          <w:szCs w:val="24"/>
        </w:rPr>
        <w:t xml:space="preserve">, Government Code) and SECTION 2 (Section </w:t>
      </w:r>
      <w:r w:rsidRPr="00E66970">
        <w:rPr>
          <w:rFonts w:cs="Times New Roman"/>
          <w:szCs w:val="24"/>
        </w:rPr>
        <w:t>155.204, Government Code</w:t>
      </w:r>
      <w:r>
        <w:rPr>
          <w:rFonts w:cs="Times New Roman"/>
          <w:szCs w:val="24"/>
        </w:rPr>
        <w:t>) of this bill.</w:t>
      </w:r>
    </w:p>
    <w:p w:rsidR="00E66970" w:rsidRPr="006529C4" w:rsidRDefault="00E66970" w:rsidP="00E66970">
      <w:pPr>
        <w:spacing w:after="0" w:line="240" w:lineRule="auto"/>
        <w:jc w:val="both"/>
        <w:rPr>
          <w:rFonts w:cs="Times New Roman"/>
          <w:szCs w:val="24"/>
        </w:rPr>
      </w:pPr>
    </w:p>
    <w:p w:rsidR="00E66970" w:rsidRPr="005C2A78" w:rsidRDefault="00E66970" w:rsidP="00B14A19">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B51300728148C6930586C09F844BA8"/>
          </w:placeholder>
        </w:sdtPr>
        <w:sdtContent>
          <w:r>
            <w:rPr>
              <w:rFonts w:eastAsia="Times New Roman" w:cs="Times New Roman"/>
              <w:b/>
              <w:szCs w:val="24"/>
              <w:u w:val="single"/>
            </w:rPr>
            <w:t>SECTION BY SECTION ANALYSIS</w:t>
          </w:r>
        </w:sdtContent>
      </w:sdt>
    </w:p>
    <w:p w:rsidR="00E66970" w:rsidRDefault="00E66970" w:rsidP="00E66970">
      <w:pPr>
        <w:spacing w:after="0" w:line="240" w:lineRule="auto"/>
        <w:jc w:val="both"/>
        <w:rPr>
          <w:rFonts w:eastAsia="Times New Roman" w:cs="Times New Roman"/>
          <w:szCs w:val="24"/>
        </w:rPr>
      </w:pPr>
      <w:r w:rsidRPr="00B14A19">
        <w:rPr>
          <w:rFonts w:eastAsia="Times New Roman" w:cs="Times New Roman"/>
          <w:szCs w:val="24"/>
        </w:rPr>
        <w:t>SECTION 1. Amends Section 155.203(b), Government Code, as follows:</w:t>
      </w:r>
    </w:p>
    <w:p w:rsidR="00E66970" w:rsidRDefault="00E66970" w:rsidP="00E66970">
      <w:pPr>
        <w:spacing w:after="0" w:line="240" w:lineRule="auto"/>
        <w:jc w:val="both"/>
        <w:rPr>
          <w:rFonts w:eastAsia="Times New Roman" w:cs="Times New Roman"/>
          <w:szCs w:val="24"/>
        </w:rPr>
      </w:pPr>
    </w:p>
    <w:p w:rsidR="00E66970" w:rsidRDefault="00E66970" w:rsidP="00E66970">
      <w:pPr>
        <w:spacing w:after="0" w:line="240" w:lineRule="auto"/>
        <w:ind w:left="720"/>
        <w:jc w:val="both"/>
        <w:rPr>
          <w:rFonts w:eastAsia="Times New Roman" w:cs="Times New Roman"/>
          <w:szCs w:val="24"/>
        </w:rPr>
      </w:pPr>
      <w:r w:rsidRPr="00B14A19">
        <w:rPr>
          <w:rFonts w:eastAsia="Times New Roman" w:cs="Times New Roman"/>
          <w:szCs w:val="24"/>
        </w:rPr>
        <w:t>(b) Requires the Supreme Court of Texas (supreme court), in adopting rules under Section 155.203 (Duty to Provide Assistance in Qualifying Guardians; Supreme Court Rulemaking), to ensure that:</w:t>
      </w:r>
    </w:p>
    <w:p w:rsidR="00E66970" w:rsidRDefault="00E66970" w:rsidP="00E66970">
      <w:pPr>
        <w:spacing w:after="0" w:line="240" w:lineRule="auto"/>
        <w:ind w:left="720"/>
        <w:jc w:val="both"/>
        <w:rPr>
          <w:rFonts w:eastAsia="Times New Roman" w:cs="Times New Roman"/>
          <w:szCs w:val="24"/>
        </w:rPr>
      </w:pPr>
    </w:p>
    <w:p w:rsidR="00E66970" w:rsidRDefault="00E66970" w:rsidP="00E66970">
      <w:pPr>
        <w:spacing w:after="0" w:line="240" w:lineRule="auto"/>
        <w:ind w:left="1440"/>
        <w:jc w:val="both"/>
        <w:rPr>
          <w:rFonts w:eastAsia="Times New Roman" w:cs="Times New Roman"/>
          <w:szCs w:val="24"/>
        </w:rPr>
      </w:pPr>
      <w:r w:rsidRPr="00B14A19">
        <w:rPr>
          <w:rFonts w:eastAsia="Times New Roman" w:cs="Times New Roman"/>
          <w:szCs w:val="24"/>
        </w:rPr>
        <w:t>(1) the Judicial Branch Certification Commission (JBCC) is required to provide confirmation of a person's completion of the training required by Section 155.204(a)(1) (relating to requiring the supreme court to ensure that before a person is appointed guardian, the person completes a certain training course) and a copy of the person's criminal history background check to the probate court not later than the 10th day before the date of the hearing to appoint a guardian; and</w:t>
      </w:r>
    </w:p>
    <w:p w:rsidR="00E66970" w:rsidRDefault="00E66970" w:rsidP="00E66970">
      <w:pPr>
        <w:spacing w:after="0" w:line="240" w:lineRule="auto"/>
        <w:ind w:left="1440"/>
        <w:jc w:val="both"/>
        <w:rPr>
          <w:rFonts w:eastAsia="Times New Roman" w:cs="Times New Roman"/>
          <w:szCs w:val="24"/>
        </w:rPr>
      </w:pPr>
    </w:p>
    <w:p w:rsidR="00E66970" w:rsidRDefault="00E66970" w:rsidP="00E66970">
      <w:pPr>
        <w:spacing w:after="0" w:line="240" w:lineRule="auto"/>
        <w:ind w:left="1440"/>
        <w:jc w:val="both"/>
        <w:rPr>
          <w:rFonts w:eastAsia="Times New Roman" w:cs="Times New Roman"/>
          <w:szCs w:val="24"/>
        </w:rPr>
      </w:pPr>
      <w:r w:rsidRPr="00B14A19">
        <w:rPr>
          <w:rFonts w:eastAsia="Times New Roman" w:cs="Times New Roman"/>
          <w:szCs w:val="24"/>
        </w:rPr>
        <w:t>(2) a probate court is required to ensure a guardian's timely completion of the training required by Section 155.204(a)(2), unless the training is waived by the probate court as provided by Section 155.204(a)(3) (relating to requiring the supreme court to identify the circumstances under which a court is authorized to waive the training required under Section 155.204 (Training Required)).</w:t>
      </w:r>
    </w:p>
    <w:p w:rsidR="00E66970" w:rsidRDefault="00E66970" w:rsidP="00E66970">
      <w:pPr>
        <w:spacing w:after="0" w:line="240" w:lineRule="auto"/>
        <w:jc w:val="both"/>
        <w:rPr>
          <w:rFonts w:eastAsia="Times New Roman" w:cs="Times New Roman"/>
          <w:szCs w:val="24"/>
        </w:rPr>
      </w:pPr>
    </w:p>
    <w:p w:rsidR="00E66970" w:rsidRDefault="00E66970" w:rsidP="00E66970">
      <w:pPr>
        <w:spacing w:after="0" w:line="240" w:lineRule="auto"/>
        <w:jc w:val="both"/>
        <w:rPr>
          <w:rFonts w:eastAsia="Times New Roman" w:cs="Times New Roman"/>
          <w:szCs w:val="24"/>
        </w:rPr>
      </w:pPr>
      <w:r w:rsidRPr="00B14A19">
        <w:rPr>
          <w:rFonts w:eastAsia="Times New Roman" w:cs="Times New Roman"/>
          <w:szCs w:val="24"/>
        </w:rPr>
        <w:t>SECTION 2. Amends Section 155.204, Government Code, by amending Subsection (a) and adding Subsection (a-1), as follows:</w:t>
      </w:r>
    </w:p>
    <w:p w:rsidR="00E66970" w:rsidRDefault="00E66970" w:rsidP="00E66970">
      <w:pPr>
        <w:spacing w:after="0" w:line="240" w:lineRule="auto"/>
        <w:jc w:val="both"/>
        <w:rPr>
          <w:rFonts w:eastAsia="Times New Roman" w:cs="Times New Roman"/>
          <w:szCs w:val="24"/>
        </w:rPr>
      </w:pPr>
    </w:p>
    <w:p w:rsidR="00E66970" w:rsidRDefault="00E66970" w:rsidP="00E66970">
      <w:pPr>
        <w:spacing w:after="0" w:line="240" w:lineRule="auto"/>
        <w:ind w:left="720"/>
        <w:jc w:val="both"/>
        <w:rPr>
          <w:rFonts w:eastAsia="Times New Roman" w:cs="Times New Roman"/>
          <w:szCs w:val="24"/>
        </w:rPr>
      </w:pPr>
      <w:r w:rsidRPr="00B14A19">
        <w:rPr>
          <w:rFonts w:eastAsia="Times New Roman" w:cs="Times New Roman"/>
          <w:szCs w:val="24"/>
        </w:rPr>
        <w:t>(a) Requires the supreme court, in adopting rules under Section 155.203, to:</w:t>
      </w:r>
    </w:p>
    <w:p w:rsidR="00E66970" w:rsidRDefault="00E66970" w:rsidP="00E66970">
      <w:pPr>
        <w:spacing w:after="0" w:line="240" w:lineRule="auto"/>
        <w:ind w:left="720"/>
        <w:jc w:val="both"/>
        <w:rPr>
          <w:rFonts w:eastAsia="Times New Roman" w:cs="Times New Roman"/>
          <w:szCs w:val="24"/>
        </w:rPr>
      </w:pPr>
    </w:p>
    <w:p w:rsidR="00E66970" w:rsidRDefault="00E66970" w:rsidP="00E66970">
      <w:pPr>
        <w:spacing w:after="0" w:line="240" w:lineRule="auto"/>
        <w:ind w:left="1440"/>
        <w:jc w:val="both"/>
        <w:rPr>
          <w:rFonts w:eastAsia="Times New Roman" w:cs="Times New Roman"/>
          <w:szCs w:val="24"/>
        </w:rPr>
      </w:pPr>
      <w:r w:rsidRPr="00B14A19">
        <w:rPr>
          <w:rFonts w:eastAsia="Times New Roman" w:cs="Times New Roman"/>
          <w:szCs w:val="24"/>
        </w:rPr>
        <w:t>(1) makes nonsubstantive changes to this subdivision;</w:t>
      </w:r>
    </w:p>
    <w:p w:rsidR="00E66970" w:rsidRDefault="00E66970" w:rsidP="00E66970">
      <w:pPr>
        <w:spacing w:after="0" w:line="240" w:lineRule="auto"/>
        <w:ind w:left="1440"/>
        <w:jc w:val="both"/>
        <w:rPr>
          <w:rFonts w:eastAsia="Times New Roman" w:cs="Times New Roman"/>
          <w:szCs w:val="24"/>
        </w:rPr>
      </w:pPr>
    </w:p>
    <w:p w:rsidR="00E66970" w:rsidRDefault="00E66970" w:rsidP="00E66970">
      <w:pPr>
        <w:spacing w:after="0" w:line="240" w:lineRule="auto"/>
        <w:ind w:left="1440"/>
        <w:jc w:val="both"/>
        <w:rPr>
          <w:rFonts w:eastAsia="Times New Roman" w:cs="Times New Roman"/>
          <w:szCs w:val="24"/>
        </w:rPr>
      </w:pPr>
      <w:r w:rsidRPr="00B14A19">
        <w:rPr>
          <w:rFonts w:eastAsia="Times New Roman" w:cs="Times New Roman"/>
          <w:szCs w:val="24"/>
        </w:rPr>
        <w:t>(2) subject to Subdivision (3)</w:t>
      </w:r>
      <w:r>
        <w:rPr>
          <w:rFonts w:eastAsia="Times New Roman" w:cs="Times New Roman"/>
          <w:szCs w:val="24"/>
        </w:rPr>
        <w:t xml:space="preserve"> (relating to </w:t>
      </w:r>
      <w:r w:rsidRPr="000020EC">
        <w:rPr>
          <w:rFonts w:eastAsia="Times New Roman" w:cs="Times New Roman"/>
          <w:szCs w:val="24"/>
        </w:rPr>
        <w:t xml:space="preserve">the circumstances under which a court </w:t>
      </w:r>
      <w:r>
        <w:rPr>
          <w:rFonts w:eastAsia="Times New Roman" w:cs="Times New Roman"/>
          <w:szCs w:val="24"/>
        </w:rPr>
        <w:t>is authorized to</w:t>
      </w:r>
      <w:r w:rsidRPr="000020EC">
        <w:rPr>
          <w:rFonts w:eastAsia="Times New Roman" w:cs="Times New Roman"/>
          <w:szCs w:val="24"/>
        </w:rPr>
        <w:t xml:space="preserve"> waive the training required</w:t>
      </w:r>
      <w:r>
        <w:rPr>
          <w:rFonts w:eastAsia="Times New Roman" w:cs="Times New Roman"/>
          <w:szCs w:val="24"/>
        </w:rPr>
        <w:t xml:space="preserve"> </w:t>
      </w:r>
      <w:r w:rsidRPr="000020EC">
        <w:rPr>
          <w:rFonts w:eastAsia="Times New Roman" w:cs="Times New Roman"/>
          <w:szCs w:val="24"/>
        </w:rPr>
        <w:t>under this section</w:t>
      </w:r>
      <w:r>
        <w:rPr>
          <w:rFonts w:eastAsia="Times New Roman" w:cs="Times New Roman"/>
          <w:szCs w:val="24"/>
        </w:rPr>
        <w:t>)</w:t>
      </w:r>
      <w:r w:rsidRPr="00B14A19">
        <w:rPr>
          <w:rFonts w:eastAsia="Times New Roman" w:cs="Times New Roman"/>
          <w:szCs w:val="24"/>
        </w:rPr>
        <w:t xml:space="preserve"> and Subsection (a-1), </w:t>
      </w:r>
      <w:r>
        <w:rPr>
          <w:rFonts w:eastAsia="Times New Roman" w:cs="Times New Roman"/>
          <w:szCs w:val="24"/>
        </w:rPr>
        <w:t>require</w:t>
      </w:r>
      <w:r w:rsidRPr="00B14A19">
        <w:rPr>
          <w:rFonts w:eastAsia="Times New Roman" w:cs="Times New Roman"/>
          <w:szCs w:val="24"/>
        </w:rPr>
        <w:t xml:space="preserve"> that not later than the sixth month after the date a guardian is appointed and at least once a year, the guardian completes a one-hour training course </w:t>
      </w:r>
      <w:r>
        <w:rPr>
          <w:rFonts w:eastAsia="Times New Roman" w:cs="Times New Roman"/>
          <w:szCs w:val="24"/>
        </w:rPr>
        <w:t>provided</w:t>
      </w:r>
      <w:r w:rsidRPr="00B14A19">
        <w:rPr>
          <w:rFonts w:eastAsia="Times New Roman" w:cs="Times New Roman"/>
          <w:szCs w:val="24"/>
        </w:rPr>
        <w:t xml:space="preserve"> to educate guardians on Alzheimer's disease, dementia, and related disorders, including providing certain information</w:t>
      </w:r>
      <w:r>
        <w:rPr>
          <w:rFonts w:eastAsia="Times New Roman" w:cs="Times New Roman"/>
          <w:szCs w:val="24"/>
        </w:rPr>
        <w:t>,</w:t>
      </w:r>
      <w:r w:rsidRPr="00B14A19">
        <w:rPr>
          <w:rFonts w:eastAsia="Times New Roman" w:cs="Times New Roman"/>
          <w:szCs w:val="24"/>
        </w:rPr>
        <w:t xml:space="preserve"> </w:t>
      </w:r>
      <w:r>
        <w:rPr>
          <w:rFonts w:eastAsia="Times New Roman" w:cs="Times New Roman"/>
          <w:szCs w:val="24"/>
        </w:rPr>
        <w:t xml:space="preserve">and </w:t>
      </w:r>
      <w:r w:rsidRPr="00B14A19">
        <w:rPr>
          <w:rFonts w:eastAsia="Times New Roman" w:cs="Times New Roman"/>
          <w:szCs w:val="24"/>
        </w:rPr>
        <w:t>made available for free to guardians</w:t>
      </w:r>
      <w:r>
        <w:rPr>
          <w:rFonts w:eastAsia="Times New Roman" w:cs="Times New Roman"/>
          <w:szCs w:val="24"/>
        </w:rPr>
        <w:t xml:space="preserve"> by JBCC</w:t>
      </w:r>
      <w:r w:rsidRPr="00B14A19">
        <w:rPr>
          <w:rFonts w:eastAsia="Times New Roman" w:cs="Times New Roman"/>
          <w:szCs w:val="24"/>
        </w:rPr>
        <w:t xml:space="preserve"> online via JBCC's Internet website; and</w:t>
      </w:r>
    </w:p>
    <w:p w:rsidR="00E66970" w:rsidRDefault="00E66970" w:rsidP="00E66970">
      <w:pPr>
        <w:spacing w:after="0" w:line="240" w:lineRule="auto"/>
        <w:ind w:left="1440"/>
        <w:jc w:val="both"/>
        <w:rPr>
          <w:rFonts w:eastAsia="Times New Roman" w:cs="Times New Roman"/>
          <w:szCs w:val="24"/>
        </w:rPr>
      </w:pPr>
    </w:p>
    <w:p w:rsidR="00E66970" w:rsidRDefault="00E66970" w:rsidP="00E66970">
      <w:pPr>
        <w:spacing w:after="0" w:line="240" w:lineRule="auto"/>
        <w:ind w:left="1440"/>
        <w:jc w:val="both"/>
        <w:rPr>
          <w:rFonts w:eastAsia="Times New Roman" w:cs="Times New Roman"/>
          <w:szCs w:val="24"/>
        </w:rPr>
      </w:pPr>
      <w:r w:rsidRPr="00B14A19">
        <w:rPr>
          <w:rFonts w:eastAsia="Times New Roman" w:cs="Times New Roman"/>
          <w:szCs w:val="24"/>
        </w:rPr>
        <w:t>(3) creates this subdivision from existing text and makes no further changes.</w:t>
      </w:r>
    </w:p>
    <w:p w:rsidR="00E66970" w:rsidRDefault="00E66970" w:rsidP="00E66970">
      <w:pPr>
        <w:spacing w:after="0" w:line="240" w:lineRule="auto"/>
        <w:ind w:left="720"/>
        <w:jc w:val="both"/>
        <w:rPr>
          <w:rFonts w:eastAsia="Times New Roman" w:cs="Times New Roman"/>
          <w:szCs w:val="24"/>
        </w:rPr>
      </w:pPr>
    </w:p>
    <w:p w:rsidR="00E66970" w:rsidRDefault="00E66970" w:rsidP="00E66970">
      <w:pPr>
        <w:spacing w:after="0" w:line="240" w:lineRule="auto"/>
        <w:ind w:left="720"/>
        <w:jc w:val="both"/>
        <w:rPr>
          <w:rFonts w:eastAsia="Times New Roman" w:cs="Times New Roman"/>
          <w:szCs w:val="24"/>
        </w:rPr>
      </w:pPr>
      <w:r w:rsidRPr="00B14A19">
        <w:rPr>
          <w:rFonts w:eastAsia="Times New Roman" w:cs="Times New Roman"/>
          <w:szCs w:val="24"/>
        </w:rPr>
        <w:t xml:space="preserve">(a-1) Provides that Subsection (a)(2) applies only to </w:t>
      </w:r>
      <w:r>
        <w:rPr>
          <w:rFonts w:eastAsia="Times New Roman" w:cs="Times New Roman"/>
          <w:szCs w:val="24"/>
        </w:rPr>
        <w:t xml:space="preserve">the appointment of </w:t>
      </w:r>
      <w:r w:rsidRPr="00B14A19">
        <w:rPr>
          <w:rFonts w:eastAsia="Times New Roman" w:cs="Times New Roman"/>
          <w:szCs w:val="24"/>
        </w:rPr>
        <w:t xml:space="preserve">a guardian of the person or the estate, or both, of a ward who is 60 years of age or older or younger than 60 years of age if the ward has been diagnosed with Alzheimer's disease, dementia, or a related disorder. </w:t>
      </w:r>
    </w:p>
    <w:p w:rsidR="00E66970" w:rsidRDefault="00E66970" w:rsidP="00E66970">
      <w:pPr>
        <w:spacing w:after="0" w:line="240" w:lineRule="auto"/>
        <w:jc w:val="both"/>
        <w:rPr>
          <w:rFonts w:eastAsia="Times New Roman" w:cs="Times New Roman"/>
          <w:szCs w:val="24"/>
        </w:rPr>
      </w:pPr>
    </w:p>
    <w:p w:rsidR="00E66970" w:rsidRDefault="00E66970" w:rsidP="00E66970">
      <w:pPr>
        <w:spacing w:after="0" w:line="240" w:lineRule="auto"/>
        <w:jc w:val="both"/>
        <w:rPr>
          <w:rFonts w:eastAsia="Times New Roman" w:cs="Times New Roman"/>
          <w:szCs w:val="24"/>
        </w:rPr>
      </w:pPr>
      <w:r w:rsidRPr="00B14A19">
        <w:rPr>
          <w:rFonts w:eastAsia="Times New Roman" w:cs="Times New Roman"/>
          <w:szCs w:val="24"/>
        </w:rPr>
        <w:t>SECTION 3. (a) Requires the supreme court, not later than January 1, 2026, to adopt the rules required under Sections 155.203 and 155.204, Government Code, as amended by this Act.</w:t>
      </w:r>
    </w:p>
    <w:p w:rsidR="00E66970" w:rsidRDefault="00E66970" w:rsidP="00E66970">
      <w:pPr>
        <w:spacing w:after="0" w:line="240" w:lineRule="auto"/>
        <w:jc w:val="both"/>
        <w:rPr>
          <w:rFonts w:eastAsia="Times New Roman" w:cs="Times New Roman"/>
          <w:szCs w:val="24"/>
        </w:rPr>
      </w:pPr>
    </w:p>
    <w:p w:rsidR="00E66970" w:rsidRDefault="00E66970" w:rsidP="00E66970">
      <w:pPr>
        <w:spacing w:after="0" w:line="240" w:lineRule="auto"/>
        <w:ind w:left="720"/>
        <w:jc w:val="both"/>
        <w:rPr>
          <w:rFonts w:eastAsia="Times New Roman" w:cs="Times New Roman"/>
          <w:szCs w:val="24"/>
        </w:rPr>
      </w:pPr>
      <w:r w:rsidRPr="00B14A19">
        <w:rPr>
          <w:rFonts w:eastAsia="Times New Roman" w:cs="Times New Roman"/>
          <w:szCs w:val="24"/>
        </w:rPr>
        <w:t xml:space="preserve">(b) Requires JBCC, not later than July 1, 2026, to make available on JBCC's Internet website the </w:t>
      </w:r>
      <w:r>
        <w:rPr>
          <w:rFonts w:eastAsia="Times New Roman" w:cs="Times New Roman"/>
          <w:szCs w:val="24"/>
        </w:rPr>
        <w:t>course</w:t>
      </w:r>
      <w:r w:rsidRPr="00B14A19">
        <w:rPr>
          <w:rFonts w:eastAsia="Times New Roman" w:cs="Times New Roman"/>
          <w:szCs w:val="24"/>
        </w:rPr>
        <w:t xml:space="preserve"> required by Section 155.204(a)(2), Government Code, as amended by this Act.</w:t>
      </w:r>
    </w:p>
    <w:p w:rsidR="00E66970" w:rsidRDefault="00E66970" w:rsidP="00E66970">
      <w:pPr>
        <w:spacing w:after="0" w:line="240" w:lineRule="auto"/>
        <w:ind w:left="720"/>
        <w:jc w:val="both"/>
        <w:rPr>
          <w:rFonts w:eastAsia="Times New Roman" w:cs="Times New Roman"/>
          <w:szCs w:val="24"/>
        </w:rPr>
      </w:pPr>
    </w:p>
    <w:p w:rsidR="00E66970" w:rsidRDefault="00E66970" w:rsidP="00E66970">
      <w:pPr>
        <w:spacing w:after="0" w:line="240" w:lineRule="auto"/>
        <w:ind w:left="720"/>
        <w:jc w:val="both"/>
        <w:rPr>
          <w:rFonts w:eastAsia="Times New Roman" w:cs="Times New Roman"/>
          <w:szCs w:val="24"/>
        </w:rPr>
      </w:pPr>
      <w:r w:rsidRPr="00B14A19">
        <w:rPr>
          <w:rFonts w:eastAsia="Times New Roman" w:cs="Times New Roman"/>
          <w:szCs w:val="24"/>
        </w:rPr>
        <w:t xml:space="preserve">(c) Requires a guardian appointed before July 1, 2026, who is required to complete the training required by Section 155.204(a)(2), Government Code, as amended by this Act, notwithstanding Section 155.204(a), Government Code, as amended by this Act, to complete the initial training required by that section not later than </w:t>
      </w:r>
      <w:r>
        <w:rPr>
          <w:rFonts w:eastAsia="Times New Roman" w:cs="Times New Roman"/>
          <w:szCs w:val="24"/>
        </w:rPr>
        <w:t>September 1, 2026.</w:t>
      </w:r>
    </w:p>
    <w:p w:rsidR="00E66970" w:rsidRDefault="00E66970" w:rsidP="00E66970">
      <w:pPr>
        <w:spacing w:after="0" w:line="240" w:lineRule="auto"/>
        <w:jc w:val="both"/>
        <w:rPr>
          <w:rFonts w:eastAsia="Times New Roman" w:cs="Times New Roman"/>
          <w:szCs w:val="24"/>
        </w:rPr>
      </w:pPr>
    </w:p>
    <w:p w:rsidR="00E66970" w:rsidRPr="00B14A19" w:rsidRDefault="00E66970" w:rsidP="00E66970">
      <w:pPr>
        <w:spacing w:after="0" w:line="240" w:lineRule="auto"/>
        <w:jc w:val="both"/>
        <w:rPr>
          <w:rFonts w:eastAsia="Times New Roman" w:cs="Times New Roman"/>
          <w:szCs w:val="24"/>
        </w:rPr>
      </w:pPr>
      <w:r w:rsidRPr="00B14A19">
        <w:rPr>
          <w:rFonts w:eastAsia="Times New Roman" w:cs="Times New Roman"/>
          <w:szCs w:val="24"/>
        </w:rPr>
        <w:t>SECTION 4. Effective date: September 1, 2025.</w:t>
      </w:r>
    </w:p>
    <w:sectPr w:rsidR="00E66970" w:rsidRPr="00B14A19"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5F70" w:rsidRDefault="00BB5F70" w:rsidP="000F1DF9">
      <w:pPr>
        <w:spacing w:after="0" w:line="240" w:lineRule="auto"/>
      </w:pPr>
      <w:r>
        <w:separator/>
      </w:r>
    </w:p>
  </w:endnote>
  <w:endnote w:type="continuationSeparator" w:id="0">
    <w:p w:rsidR="00BB5F70" w:rsidRDefault="00BB5F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B5F7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66970">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66970">
                <w:rPr>
                  <w:sz w:val="20"/>
                  <w:szCs w:val="20"/>
                </w:rPr>
                <w:t>H.B. 3376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6697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B5F7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5F70" w:rsidRDefault="00BB5F70" w:rsidP="000F1DF9">
      <w:pPr>
        <w:spacing w:after="0" w:line="240" w:lineRule="auto"/>
      </w:pPr>
      <w:r>
        <w:separator/>
      </w:r>
    </w:p>
  </w:footnote>
  <w:footnote w:type="continuationSeparator" w:id="0">
    <w:p w:rsidR="00BB5F70" w:rsidRDefault="00BB5F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B5F70"/>
    <w:rsid w:val="00BC4F25"/>
    <w:rsid w:val="00BC7495"/>
    <w:rsid w:val="00BD0CEE"/>
    <w:rsid w:val="00BE4852"/>
    <w:rsid w:val="00C04606"/>
    <w:rsid w:val="00C10A08"/>
    <w:rsid w:val="00C43D01"/>
    <w:rsid w:val="00C65088"/>
    <w:rsid w:val="00C8671F"/>
    <w:rsid w:val="00CC3D4A"/>
    <w:rsid w:val="00D01BEC"/>
    <w:rsid w:val="00D11363"/>
    <w:rsid w:val="00D70925"/>
    <w:rsid w:val="00DB48D8"/>
    <w:rsid w:val="00E036F8"/>
    <w:rsid w:val="00E10F50"/>
    <w:rsid w:val="00E23091"/>
    <w:rsid w:val="00E32B14"/>
    <w:rsid w:val="00E46194"/>
    <w:rsid w:val="00E6697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72B"/>
  <w15:docId w15:val="{4025CE88-03CF-4CFB-9EC3-CD5BEEE7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6697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0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0B13553E7D648A190AFF4D53966051F"/>
        <w:category>
          <w:name w:val="General"/>
          <w:gallery w:val="placeholder"/>
        </w:category>
        <w:types>
          <w:type w:val="bbPlcHdr"/>
        </w:types>
        <w:behaviors>
          <w:behavior w:val="content"/>
        </w:behaviors>
        <w:guid w:val="{1565E00D-A883-4894-A83B-700A6E766337}"/>
      </w:docPartPr>
      <w:docPartBody>
        <w:p w:rsidR="00593F71" w:rsidRDefault="00593F71"/>
      </w:docPartBody>
    </w:docPart>
    <w:docPart>
      <w:docPartPr>
        <w:name w:val="0558887F73D64F49893A328529B99542"/>
        <w:category>
          <w:name w:val="General"/>
          <w:gallery w:val="placeholder"/>
        </w:category>
        <w:types>
          <w:type w:val="bbPlcHdr"/>
        </w:types>
        <w:behaviors>
          <w:behavior w:val="content"/>
        </w:behaviors>
        <w:guid w:val="{3D7AF491-AAA1-449F-AA17-91FE76D5077B}"/>
      </w:docPartPr>
      <w:docPartBody>
        <w:p w:rsidR="00593F71" w:rsidRDefault="00593F71"/>
      </w:docPartBody>
    </w:docPart>
    <w:docPart>
      <w:docPartPr>
        <w:name w:val="CB2D242B916240969B8A543F0B839794"/>
        <w:category>
          <w:name w:val="General"/>
          <w:gallery w:val="placeholder"/>
        </w:category>
        <w:types>
          <w:type w:val="bbPlcHdr"/>
        </w:types>
        <w:behaviors>
          <w:behavior w:val="content"/>
        </w:behaviors>
        <w:guid w:val="{52E24A2A-B8AD-4C94-AD42-4964D1510641}"/>
      </w:docPartPr>
      <w:docPartBody>
        <w:p w:rsidR="00593F71" w:rsidRDefault="00593F71"/>
      </w:docPartBody>
    </w:docPart>
    <w:docPart>
      <w:docPartPr>
        <w:name w:val="E31503D3C87C435CB6F0F288FBF8ECB6"/>
        <w:category>
          <w:name w:val="General"/>
          <w:gallery w:val="placeholder"/>
        </w:category>
        <w:types>
          <w:type w:val="bbPlcHdr"/>
        </w:types>
        <w:behaviors>
          <w:behavior w:val="content"/>
        </w:behaviors>
        <w:guid w:val="{CF9A93B0-266B-4E4D-893D-31BD78B08D79}"/>
      </w:docPartPr>
      <w:docPartBody>
        <w:p w:rsidR="00593F71" w:rsidRDefault="00593F71"/>
      </w:docPartBody>
    </w:docPart>
    <w:docPart>
      <w:docPartPr>
        <w:name w:val="329ED1C814DE4D4BBC468126B5C42732"/>
        <w:category>
          <w:name w:val="General"/>
          <w:gallery w:val="placeholder"/>
        </w:category>
        <w:types>
          <w:type w:val="bbPlcHdr"/>
        </w:types>
        <w:behaviors>
          <w:behavior w:val="content"/>
        </w:behaviors>
        <w:guid w:val="{C8252D2B-20EC-4EA3-919E-D42890AECA72}"/>
      </w:docPartPr>
      <w:docPartBody>
        <w:p w:rsidR="00593F71" w:rsidRDefault="00593F71"/>
      </w:docPartBody>
    </w:docPart>
    <w:docPart>
      <w:docPartPr>
        <w:name w:val="27CF877FD05340BD97A72D7968C5E048"/>
        <w:category>
          <w:name w:val="General"/>
          <w:gallery w:val="placeholder"/>
        </w:category>
        <w:types>
          <w:type w:val="bbPlcHdr"/>
        </w:types>
        <w:behaviors>
          <w:behavior w:val="content"/>
        </w:behaviors>
        <w:guid w:val="{98AC46D9-388C-42A1-A4CD-989DC5E361AD}"/>
      </w:docPartPr>
      <w:docPartBody>
        <w:p w:rsidR="00593F71" w:rsidRDefault="00593F71"/>
      </w:docPartBody>
    </w:docPart>
    <w:docPart>
      <w:docPartPr>
        <w:name w:val="E23E9406881448AC807B84EBE1A53654"/>
        <w:category>
          <w:name w:val="General"/>
          <w:gallery w:val="placeholder"/>
        </w:category>
        <w:types>
          <w:type w:val="bbPlcHdr"/>
        </w:types>
        <w:behaviors>
          <w:behavior w:val="content"/>
        </w:behaviors>
        <w:guid w:val="{34FB26F4-C6AB-4BFB-A1DE-E3C21E767B7A}"/>
      </w:docPartPr>
      <w:docPartBody>
        <w:p w:rsidR="00593F71" w:rsidRDefault="00593F71"/>
      </w:docPartBody>
    </w:docPart>
    <w:docPart>
      <w:docPartPr>
        <w:name w:val="C85DB5A6151D4C259B834BBFC744399F"/>
        <w:category>
          <w:name w:val="General"/>
          <w:gallery w:val="placeholder"/>
        </w:category>
        <w:types>
          <w:type w:val="bbPlcHdr"/>
        </w:types>
        <w:behaviors>
          <w:behavior w:val="content"/>
        </w:behaviors>
        <w:guid w:val="{3989AC70-B646-412F-B93C-EA64068B5FF0}"/>
      </w:docPartPr>
      <w:docPartBody>
        <w:p w:rsidR="00593F71" w:rsidRDefault="00593F71"/>
      </w:docPartBody>
    </w:docPart>
    <w:docPart>
      <w:docPartPr>
        <w:name w:val="1C886D5C6A214F12818BB3C5E0D30EAF"/>
        <w:category>
          <w:name w:val="General"/>
          <w:gallery w:val="placeholder"/>
        </w:category>
        <w:types>
          <w:type w:val="bbPlcHdr"/>
        </w:types>
        <w:behaviors>
          <w:behavior w:val="content"/>
        </w:behaviors>
        <w:guid w:val="{B668615E-206D-4A19-8EC8-FAACA302AB88}"/>
      </w:docPartPr>
      <w:docPartBody>
        <w:p w:rsidR="00593F71" w:rsidRDefault="00593F71"/>
      </w:docPartBody>
    </w:docPart>
    <w:docPart>
      <w:docPartPr>
        <w:name w:val="C13D26E6331941AB87482CE15D944C36"/>
        <w:category>
          <w:name w:val="General"/>
          <w:gallery w:val="placeholder"/>
        </w:category>
        <w:types>
          <w:type w:val="bbPlcHdr"/>
        </w:types>
        <w:behaviors>
          <w:behavior w:val="content"/>
        </w:behaviors>
        <w:guid w:val="{4EF6B470-B779-460D-A3EA-DC8EFC6366BB}"/>
      </w:docPartPr>
      <w:docPartBody>
        <w:p w:rsidR="00593F71" w:rsidRDefault="006E0823" w:rsidP="006E0823">
          <w:pPr>
            <w:pStyle w:val="C13D26E6331941AB87482CE15D944C36"/>
          </w:pPr>
          <w:r w:rsidRPr="00A30DD1">
            <w:rPr>
              <w:rStyle w:val="PlaceholderText"/>
            </w:rPr>
            <w:t>Click here to enter a date.</w:t>
          </w:r>
        </w:p>
      </w:docPartBody>
    </w:docPart>
    <w:docPart>
      <w:docPartPr>
        <w:name w:val="9FADAC5B9609423D9F647693E7E7F90A"/>
        <w:category>
          <w:name w:val="General"/>
          <w:gallery w:val="placeholder"/>
        </w:category>
        <w:types>
          <w:type w:val="bbPlcHdr"/>
        </w:types>
        <w:behaviors>
          <w:behavior w:val="content"/>
        </w:behaviors>
        <w:guid w:val="{1D12939D-40B1-4D40-8AAD-538341007C3A}"/>
      </w:docPartPr>
      <w:docPartBody>
        <w:p w:rsidR="00593F71" w:rsidRDefault="00593F71"/>
      </w:docPartBody>
    </w:docPart>
    <w:docPart>
      <w:docPartPr>
        <w:name w:val="92867D52787645E8952D8C8A6F6655CC"/>
        <w:category>
          <w:name w:val="General"/>
          <w:gallery w:val="placeholder"/>
        </w:category>
        <w:types>
          <w:type w:val="bbPlcHdr"/>
        </w:types>
        <w:behaviors>
          <w:behavior w:val="content"/>
        </w:behaviors>
        <w:guid w:val="{C562C333-B1BA-4F47-B076-209226D6201D}"/>
      </w:docPartPr>
      <w:docPartBody>
        <w:p w:rsidR="00593F71" w:rsidRDefault="00593F71"/>
      </w:docPartBody>
    </w:docPart>
    <w:docPart>
      <w:docPartPr>
        <w:name w:val="86920232EFB842A6B0E085D5589D172A"/>
        <w:category>
          <w:name w:val="General"/>
          <w:gallery w:val="placeholder"/>
        </w:category>
        <w:types>
          <w:type w:val="bbPlcHdr"/>
        </w:types>
        <w:behaviors>
          <w:behavior w:val="content"/>
        </w:behaviors>
        <w:guid w:val="{86F12BEB-A67A-479E-AE4C-1FDDD4D18BDD}"/>
      </w:docPartPr>
      <w:docPartBody>
        <w:p w:rsidR="00593F71" w:rsidRDefault="006E0823" w:rsidP="006E0823">
          <w:pPr>
            <w:pStyle w:val="86920232EFB842A6B0E085D5589D172A"/>
          </w:pPr>
          <w:r>
            <w:rPr>
              <w:rFonts w:eastAsia="Times New Roman" w:cs="Times New Roman"/>
              <w:bCs/>
            </w:rPr>
            <w:t xml:space="preserve"> </w:t>
          </w:r>
        </w:p>
      </w:docPartBody>
    </w:docPart>
    <w:docPart>
      <w:docPartPr>
        <w:name w:val="34D9A30B41B242D29BFBBF49D60F6193"/>
        <w:category>
          <w:name w:val="General"/>
          <w:gallery w:val="placeholder"/>
        </w:category>
        <w:types>
          <w:type w:val="bbPlcHdr"/>
        </w:types>
        <w:behaviors>
          <w:behavior w:val="content"/>
        </w:behaviors>
        <w:guid w:val="{0594DC6B-A7DB-4EE5-8C13-2D9016FDF3AB}"/>
      </w:docPartPr>
      <w:docPartBody>
        <w:p w:rsidR="00593F71" w:rsidRDefault="00593F71"/>
      </w:docPartBody>
    </w:docPart>
    <w:docPart>
      <w:docPartPr>
        <w:name w:val="F7B51300728148C6930586C09F844BA8"/>
        <w:category>
          <w:name w:val="General"/>
          <w:gallery w:val="placeholder"/>
        </w:category>
        <w:types>
          <w:type w:val="bbPlcHdr"/>
        </w:types>
        <w:behaviors>
          <w:behavior w:val="content"/>
        </w:behaviors>
        <w:guid w:val="{157484FF-1FB1-4858-BC9D-2662248D1A95}"/>
      </w:docPartPr>
      <w:docPartBody>
        <w:p w:rsidR="00593F71" w:rsidRDefault="00593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93F71"/>
    <w:rsid w:val="005B408E"/>
    <w:rsid w:val="005D31F2"/>
    <w:rsid w:val="00635291"/>
    <w:rsid w:val="006959CC"/>
    <w:rsid w:val="00696675"/>
    <w:rsid w:val="006B0016"/>
    <w:rsid w:val="006E0823"/>
    <w:rsid w:val="008C55F7"/>
    <w:rsid w:val="0090598B"/>
    <w:rsid w:val="00984D6C"/>
    <w:rsid w:val="00A54AD6"/>
    <w:rsid w:val="00A57564"/>
    <w:rsid w:val="00B252A4"/>
    <w:rsid w:val="00B5530B"/>
    <w:rsid w:val="00BC4F25"/>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823"/>
    <w:rPr>
      <w:color w:val="808080"/>
    </w:rPr>
  </w:style>
  <w:style w:type="paragraph" w:customStyle="1" w:styleId="C13D26E6331941AB87482CE15D944C36">
    <w:name w:val="C13D26E6331941AB87482CE15D944C36"/>
    <w:rsid w:val="006E0823"/>
    <w:pPr>
      <w:spacing w:after="160" w:line="278" w:lineRule="auto"/>
    </w:pPr>
    <w:rPr>
      <w:kern w:val="2"/>
      <w:sz w:val="24"/>
      <w:szCs w:val="24"/>
      <w14:ligatures w14:val="standardContextual"/>
    </w:rPr>
  </w:style>
  <w:style w:type="paragraph" w:customStyle="1" w:styleId="86920232EFB842A6B0E085D5589D172A">
    <w:name w:val="86920232EFB842A6B0E085D5589D172A"/>
    <w:rsid w:val="006E082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691</Words>
  <Characters>3944</Characters>
  <Application>Microsoft Office Word</Application>
  <DocSecurity>0</DocSecurity>
  <Lines>32</Lines>
  <Paragraphs>9</Paragraphs>
  <ScaleCrop>false</ScaleCrop>
  <Company>Texas Legislative Council</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2025-05-06T17:04:00Z</dcterms:modified>
</cp:coreProperties>
</file>

<file path=docProps/custom.xml><?xml version="1.0" encoding="utf-8"?>
<op:Properties xmlns:vt="http://schemas.openxmlformats.org/officeDocument/2006/docPropsVTypes" xmlns:op="http://schemas.openxmlformats.org/officeDocument/2006/custom-properties"/>
</file>