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23D0" w:rsidRDefault="00F823D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DDE58B1BB46D493EB39DB63C1E0B0FC2"/>
          </w:placeholder>
        </w:sdtPr>
        <w:sdtContent>
          <w:r w:rsidRPr="005C2A78">
            <w:rPr>
              <w:rFonts w:cs="Times New Roman"/>
              <w:b/>
              <w:szCs w:val="24"/>
              <w:u w:val="single"/>
            </w:rPr>
            <w:t>BILL ANALYSIS</w:t>
          </w:r>
        </w:sdtContent>
      </w:sdt>
    </w:p>
    <w:p w:rsidR="00F823D0" w:rsidRPr="00585C31" w:rsidRDefault="00F823D0" w:rsidP="000F1DF9">
      <w:pPr>
        <w:spacing w:after="0" w:line="240" w:lineRule="auto"/>
        <w:rPr>
          <w:rFonts w:cs="Times New Roman"/>
          <w:szCs w:val="24"/>
        </w:rPr>
      </w:pPr>
    </w:p>
    <w:p w:rsidR="00F823D0" w:rsidRPr="00585C31" w:rsidRDefault="00F823D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823D0" w:rsidTr="000F1DF9">
        <w:tc>
          <w:tcPr>
            <w:tcW w:w="2718" w:type="dxa"/>
          </w:tcPr>
          <w:p w:rsidR="00F823D0" w:rsidRPr="005C2A78" w:rsidRDefault="00F823D0" w:rsidP="006D756B">
            <w:pPr>
              <w:rPr>
                <w:rFonts w:cs="Times New Roman"/>
                <w:szCs w:val="24"/>
              </w:rPr>
            </w:pPr>
            <w:sdt>
              <w:sdtPr>
                <w:rPr>
                  <w:rFonts w:cs="Times New Roman"/>
                  <w:szCs w:val="24"/>
                </w:rPr>
                <w:alias w:val="Agency Title"/>
                <w:tag w:val="AgencyTitleContentControl"/>
                <w:id w:val="1920747753"/>
                <w:lock w:val="sdtContentLocked"/>
                <w:placeholder>
                  <w:docPart w:val="6FFE32B246004CEFA7EA1F7EAB2D0B89"/>
                </w:placeholder>
              </w:sdtPr>
              <w:sdtEndPr>
                <w:rPr>
                  <w:rFonts w:cstheme="minorBidi"/>
                  <w:szCs w:val="22"/>
                </w:rPr>
              </w:sdtEndPr>
              <w:sdtContent>
                <w:r>
                  <w:rPr>
                    <w:rFonts w:cs="Times New Roman"/>
                    <w:szCs w:val="24"/>
                  </w:rPr>
                  <w:t>Senate Research Center</w:t>
                </w:r>
              </w:sdtContent>
            </w:sdt>
          </w:p>
        </w:tc>
        <w:tc>
          <w:tcPr>
            <w:tcW w:w="6858" w:type="dxa"/>
          </w:tcPr>
          <w:p w:rsidR="00F823D0" w:rsidRPr="00FF6471" w:rsidRDefault="00F823D0" w:rsidP="000F1DF9">
            <w:pPr>
              <w:jc w:val="right"/>
              <w:rPr>
                <w:rFonts w:cs="Times New Roman"/>
                <w:szCs w:val="24"/>
              </w:rPr>
            </w:pPr>
            <w:sdt>
              <w:sdtPr>
                <w:rPr>
                  <w:rFonts w:cs="Times New Roman"/>
                  <w:szCs w:val="24"/>
                </w:rPr>
                <w:alias w:val="Bill Number"/>
                <w:tag w:val="BillNumberOne"/>
                <w:id w:val="-410784069"/>
                <w:lock w:val="sdtContentLocked"/>
                <w:placeholder>
                  <w:docPart w:val="2F3A680A81964C45BFB51AF84D159EF0"/>
                </w:placeholder>
              </w:sdtPr>
              <w:sdtContent>
                <w:r>
                  <w:rPr>
                    <w:rFonts w:cs="Times New Roman"/>
                    <w:szCs w:val="24"/>
                  </w:rPr>
                  <w:t>H.B. 3395</w:t>
                </w:r>
              </w:sdtContent>
            </w:sdt>
          </w:p>
        </w:tc>
      </w:tr>
      <w:tr w:rsidR="00F823D0" w:rsidTr="000F1DF9">
        <w:sdt>
          <w:sdtPr>
            <w:rPr>
              <w:rFonts w:cs="Times New Roman"/>
              <w:szCs w:val="24"/>
            </w:rPr>
            <w:alias w:val="TLCNumber"/>
            <w:tag w:val="TLCNumber"/>
            <w:id w:val="-542600604"/>
            <w:lock w:val="sdtLocked"/>
            <w:placeholder>
              <w:docPart w:val="4C4AA31AA28C44CC9132D1EBD15795F5"/>
            </w:placeholder>
          </w:sdtPr>
          <w:sdtContent>
            <w:tc>
              <w:tcPr>
                <w:tcW w:w="2718" w:type="dxa"/>
              </w:tcPr>
              <w:p w:rsidR="00F823D0" w:rsidRPr="000F1DF9" w:rsidRDefault="00F823D0" w:rsidP="00C65088">
                <w:pPr>
                  <w:rPr>
                    <w:rFonts w:cs="Times New Roman"/>
                    <w:szCs w:val="24"/>
                  </w:rPr>
                </w:pPr>
                <w:r>
                  <w:rPr>
                    <w:rFonts w:cs="Times New Roman"/>
                    <w:szCs w:val="24"/>
                  </w:rPr>
                  <w:t>89R21320 KFF-D</w:t>
                </w:r>
              </w:p>
            </w:tc>
          </w:sdtContent>
        </w:sdt>
        <w:tc>
          <w:tcPr>
            <w:tcW w:w="6858" w:type="dxa"/>
          </w:tcPr>
          <w:p w:rsidR="00F823D0" w:rsidRPr="005C2A78" w:rsidRDefault="00F823D0" w:rsidP="00073EDD">
            <w:pPr>
              <w:jc w:val="right"/>
              <w:rPr>
                <w:rFonts w:cs="Times New Roman"/>
                <w:szCs w:val="24"/>
              </w:rPr>
            </w:pPr>
            <w:sdt>
              <w:sdtPr>
                <w:rPr>
                  <w:rFonts w:cs="Times New Roman"/>
                  <w:szCs w:val="24"/>
                </w:rPr>
                <w:alias w:val="Author Label"/>
                <w:tag w:val="By"/>
                <w:id w:val="72399597"/>
                <w:lock w:val="sdtLocked"/>
                <w:placeholder>
                  <w:docPart w:val="3E05810D2A37480D8A9958341D87C2F5"/>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6D39F9405454F12B390043F14746093"/>
                </w:placeholder>
              </w:sdtPr>
              <w:sdtContent>
                <w:r>
                  <w:rPr>
                    <w:rFonts w:cs="Times New Roman"/>
                    <w:szCs w:val="24"/>
                  </w:rPr>
                  <w:t>VanDeaver</w:t>
                </w:r>
              </w:sdtContent>
            </w:sdt>
            <w:sdt>
              <w:sdtPr>
                <w:rPr>
                  <w:rFonts w:cs="Times New Roman"/>
                  <w:szCs w:val="24"/>
                </w:rPr>
                <w:alias w:val="Sponsor"/>
                <w:tag w:val="Sponsor"/>
                <w:id w:val="-2039656131"/>
                <w:lock w:val="sdtContentLocked"/>
                <w:placeholder>
                  <w:docPart w:val="303F52CA23824BF4B2A2A587AB196504"/>
                </w:placeholder>
              </w:sdtPr>
              <w:sdtContent>
                <w:r>
                  <w:rPr>
                    <w:rFonts w:cs="Times New Roman"/>
                    <w:szCs w:val="24"/>
                  </w:rPr>
                  <w:t xml:space="preserve"> (Hughes)</w:t>
                </w:r>
              </w:sdtContent>
            </w:sdt>
            <w:sdt>
              <w:sdtPr>
                <w:rPr>
                  <w:rFonts w:cs="Times New Roman"/>
                  <w:szCs w:val="24"/>
                </w:rPr>
                <w:alias w:val="DualSponsor"/>
                <w:tag w:val="DualSponsor"/>
                <w:id w:val="1029379812"/>
                <w:lock w:val="sdtContentLocked"/>
                <w:placeholder>
                  <w:docPart w:val="C730882BA3A34D5C94B245CC208699B1"/>
                </w:placeholder>
                <w:showingPlcHdr/>
              </w:sdtPr>
              <w:sdtContent/>
            </w:sdt>
          </w:p>
        </w:tc>
      </w:tr>
      <w:tr w:rsidR="00F823D0" w:rsidTr="000F1DF9">
        <w:tc>
          <w:tcPr>
            <w:tcW w:w="2718" w:type="dxa"/>
          </w:tcPr>
          <w:p w:rsidR="00F823D0" w:rsidRPr="00BC7495" w:rsidRDefault="00F823D0" w:rsidP="000F1DF9">
            <w:pPr>
              <w:rPr>
                <w:rFonts w:cs="Times New Roman"/>
                <w:szCs w:val="24"/>
              </w:rPr>
            </w:pPr>
          </w:p>
        </w:tc>
        <w:sdt>
          <w:sdtPr>
            <w:rPr>
              <w:rFonts w:cs="Times New Roman"/>
              <w:szCs w:val="24"/>
            </w:rPr>
            <w:alias w:val="Committee"/>
            <w:tag w:val="Committee"/>
            <w:id w:val="1914272295"/>
            <w:lock w:val="sdtContentLocked"/>
            <w:placeholder>
              <w:docPart w:val="B158FF2F775144578F528ADC65F72249"/>
            </w:placeholder>
          </w:sdtPr>
          <w:sdtContent>
            <w:tc>
              <w:tcPr>
                <w:tcW w:w="6858" w:type="dxa"/>
              </w:tcPr>
              <w:p w:rsidR="00F823D0" w:rsidRPr="00FF6471" w:rsidRDefault="00F823D0" w:rsidP="000F1DF9">
                <w:pPr>
                  <w:jc w:val="right"/>
                  <w:rPr>
                    <w:rFonts w:cs="Times New Roman"/>
                    <w:szCs w:val="24"/>
                  </w:rPr>
                </w:pPr>
                <w:r>
                  <w:rPr>
                    <w:rFonts w:cs="Times New Roman"/>
                    <w:szCs w:val="24"/>
                  </w:rPr>
                  <w:t>Jurisprudence</w:t>
                </w:r>
              </w:p>
            </w:tc>
          </w:sdtContent>
        </w:sdt>
      </w:tr>
      <w:tr w:rsidR="00F823D0" w:rsidTr="000F1DF9">
        <w:tc>
          <w:tcPr>
            <w:tcW w:w="2718" w:type="dxa"/>
          </w:tcPr>
          <w:p w:rsidR="00F823D0" w:rsidRPr="00BC7495" w:rsidRDefault="00F823D0" w:rsidP="000F1DF9">
            <w:pPr>
              <w:rPr>
                <w:rFonts w:cs="Times New Roman"/>
                <w:szCs w:val="24"/>
              </w:rPr>
            </w:pPr>
          </w:p>
        </w:tc>
        <w:sdt>
          <w:sdtPr>
            <w:rPr>
              <w:rFonts w:cs="Times New Roman"/>
              <w:szCs w:val="24"/>
            </w:rPr>
            <w:alias w:val="Date"/>
            <w:tag w:val="DateContentControl"/>
            <w:id w:val="1178081906"/>
            <w:lock w:val="sdtLocked"/>
            <w:placeholder>
              <w:docPart w:val="555D4E2F030B4BEEB4551964878F683F"/>
            </w:placeholder>
            <w:date w:fullDate="2025-05-12T00:00:00Z">
              <w:dateFormat w:val="M/d/yyyy"/>
              <w:lid w:val="en-US"/>
              <w:storeMappedDataAs w:val="dateTime"/>
              <w:calendar w:val="gregorian"/>
            </w:date>
          </w:sdtPr>
          <w:sdtContent>
            <w:tc>
              <w:tcPr>
                <w:tcW w:w="6858" w:type="dxa"/>
              </w:tcPr>
              <w:p w:rsidR="00F823D0" w:rsidRPr="00FF6471" w:rsidRDefault="00F823D0" w:rsidP="000F1DF9">
                <w:pPr>
                  <w:jc w:val="right"/>
                  <w:rPr>
                    <w:rFonts w:cs="Times New Roman"/>
                    <w:szCs w:val="24"/>
                  </w:rPr>
                </w:pPr>
                <w:r>
                  <w:rPr>
                    <w:rFonts w:cs="Times New Roman"/>
                    <w:szCs w:val="24"/>
                  </w:rPr>
                  <w:t>5/12/2025</w:t>
                </w:r>
              </w:p>
            </w:tc>
          </w:sdtContent>
        </w:sdt>
      </w:tr>
      <w:tr w:rsidR="00F823D0" w:rsidTr="000F1DF9">
        <w:tc>
          <w:tcPr>
            <w:tcW w:w="2718" w:type="dxa"/>
          </w:tcPr>
          <w:p w:rsidR="00F823D0" w:rsidRPr="00BC7495" w:rsidRDefault="00F823D0" w:rsidP="000F1DF9">
            <w:pPr>
              <w:rPr>
                <w:rFonts w:cs="Times New Roman"/>
                <w:szCs w:val="24"/>
              </w:rPr>
            </w:pPr>
          </w:p>
        </w:tc>
        <w:sdt>
          <w:sdtPr>
            <w:rPr>
              <w:rFonts w:cs="Times New Roman"/>
              <w:szCs w:val="24"/>
            </w:rPr>
            <w:alias w:val="BA Version"/>
            <w:tag w:val="BAVersion"/>
            <w:id w:val="-1685590809"/>
            <w:lock w:val="sdtContentLocked"/>
            <w:placeholder>
              <w:docPart w:val="1FDF0F75E40F49AEA37EE51C3596F923"/>
            </w:placeholder>
          </w:sdtPr>
          <w:sdtContent>
            <w:tc>
              <w:tcPr>
                <w:tcW w:w="6858" w:type="dxa"/>
              </w:tcPr>
              <w:p w:rsidR="00F823D0" w:rsidRPr="00FF6471" w:rsidRDefault="00F823D0" w:rsidP="000F1DF9">
                <w:pPr>
                  <w:jc w:val="right"/>
                  <w:rPr>
                    <w:rFonts w:cs="Times New Roman"/>
                    <w:szCs w:val="24"/>
                  </w:rPr>
                </w:pPr>
                <w:r>
                  <w:rPr>
                    <w:rFonts w:cs="Times New Roman"/>
                    <w:szCs w:val="24"/>
                  </w:rPr>
                  <w:t>Engrossed</w:t>
                </w:r>
              </w:p>
            </w:tc>
          </w:sdtContent>
        </w:sdt>
      </w:tr>
    </w:tbl>
    <w:p w:rsidR="00F823D0" w:rsidRPr="00FF6471" w:rsidRDefault="00F823D0" w:rsidP="000F1DF9">
      <w:pPr>
        <w:spacing w:after="0" w:line="240" w:lineRule="auto"/>
        <w:rPr>
          <w:rFonts w:cs="Times New Roman"/>
          <w:szCs w:val="24"/>
        </w:rPr>
      </w:pPr>
    </w:p>
    <w:p w:rsidR="00F823D0" w:rsidRPr="00FF6471" w:rsidRDefault="00F823D0" w:rsidP="000F1DF9">
      <w:pPr>
        <w:spacing w:after="0" w:line="240" w:lineRule="auto"/>
        <w:rPr>
          <w:rFonts w:cs="Times New Roman"/>
          <w:szCs w:val="24"/>
        </w:rPr>
      </w:pPr>
    </w:p>
    <w:p w:rsidR="00F823D0" w:rsidRPr="00FF6471" w:rsidRDefault="00F823D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BFC172EDF294B3D8AA44340DC0F5CBF"/>
        </w:placeholder>
      </w:sdtPr>
      <w:sdtContent>
        <w:p w:rsidR="00F823D0" w:rsidRDefault="00F823D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4440D3EE8CEC4893A21103D7E77F5ED4"/>
        </w:placeholder>
      </w:sdtPr>
      <w:sdtContent>
        <w:p w:rsidR="00F823D0" w:rsidRDefault="00F823D0" w:rsidP="00051C78">
          <w:pPr>
            <w:pStyle w:val="NormalWeb"/>
            <w:spacing w:before="0" w:beforeAutospacing="0" w:after="0" w:afterAutospacing="0"/>
            <w:jc w:val="both"/>
            <w:divId w:val="999499924"/>
            <w:rPr>
              <w:rFonts w:eastAsia="Times New Roman"/>
              <w:bCs/>
            </w:rPr>
          </w:pPr>
        </w:p>
        <w:p w:rsidR="00F823D0" w:rsidRPr="00017FB9" w:rsidRDefault="00F823D0" w:rsidP="00051C78">
          <w:pPr>
            <w:pStyle w:val="NormalWeb"/>
            <w:spacing w:before="0" w:beforeAutospacing="0" w:after="0" w:afterAutospacing="0"/>
            <w:jc w:val="both"/>
            <w:divId w:val="999499924"/>
          </w:pPr>
          <w:r w:rsidRPr="00017FB9">
            <w:t>Current law lacks a statutory mechanism explicitly allowing for the direct designation of a beneficiary for manufactured homes, which causes potential complications in probate and inheritance proceedings. Constituents, estate planners, and legal professionals have identified the need for a streamlined process similar to transfer-on-death designations available for other types of property, such as motor vehicles and real estate, and that addressing this gap will simplify estate planning and reduce the burden on heirs as they navigate the probate process.</w:t>
          </w:r>
        </w:p>
        <w:p w:rsidR="00F823D0" w:rsidRPr="00017FB9" w:rsidRDefault="00F823D0" w:rsidP="00051C78">
          <w:pPr>
            <w:pStyle w:val="NormalWeb"/>
            <w:spacing w:before="0" w:beforeAutospacing="0" w:after="0" w:afterAutospacing="0"/>
            <w:jc w:val="both"/>
            <w:divId w:val="999499924"/>
          </w:pPr>
          <w:r w:rsidRPr="00017FB9">
            <w:t> </w:t>
          </w:r>
        </w:p>
        <w:p w:rsidR="00F823D0" w:rsidRPr="00017FB9" w:rsidRDefault="00F823D0" w:rsidP="00051C78">
          <w:pPr>
            <w:pStyle w:val="NormalWeb"/>
            <w:spacing w:before="0" w:beforeAutospacing="0" w:after="0" w:afterAutospacing="0"/>
            <w:jc w:val="both"/>
            <w:divId w:val="999499924"/>
          </w:pPr>
          <w:r w:rsidRPr="00017FB9">
            <w:t>H.B. 3395 seeks to provide for a legal framework for the designation of a beneficiary for manufactured homes classified as personal property by allowing ownership to transfer directly upon the owner's death and by establishing legal definitions and procedures for this new form of transfer. </w:t>
          </w:r>
        </w:p>
        <w:p w:rsidR="00F823D0" w:rsidRPr="00D70925" w:rsidRDefault="00F823D0" w:rsidP="00051C78">
          <w:pPr>
            <w:spacing w:after="0" w:line="240" w:lineRule="auto"/>
            <w:jc w:val="both"/>
            <w:rPr>
              <w:rFonts w:eastAsia="Times New Roman" w:cs="Times New Roman"/>
              <w:bCs/>
              <w:szCs w:val="24"/>
            </w:rPr>
          </w:pPr>
        </w:p>
      </w:sdtContent>
    </w:sdt>
    <w:p w:rsidR="00F823D0" w:rsidRDefault="00F823D0" w:rsidP="00F73D2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3395 </w:t>
      </w:r>
      <w:bookmarkStart w:id="1" w:name="AmendsCurrentLaw"/>
      <w:bookmarkEnd w:id="1"/>
      <w:r>
        <w:rPr>
          <w:rFonts w:cs="Times New Roman"/>
          <w:szCs w:val="24"/>
        </w:rPr>
        <w:t>amends current law</w:t>
      </w:r>
      <w:r w:rsidRPr="00BD7538">
        <w:rPr>
          <w:rFonts w:cs="Times New Roman"/>
          <w:szCs w:val="24"/>
        </w:rPr>
        <w:t xml:space="preserve"> relating to authorizing a beneficiary designation that transfers a manufactured home classified as personal property at the owner's death.</w:t>
      </w:r>
    </w:p>
    <w:p w:rsidR="00F823D0" w:rsidRPr="00BD7538" w:rsidRDefault="00F823D0" w:rsidP="00F73D26">
      <w:pPr>
        <w:spacing w:after="0" w:line="240" w:lineRule="auto"/>
        <w:jc w:val="both"/>
        <w:rPr>
          <w:rFonts w:eastAsia="Times New Roman" w:cs="Times New Roman"/>
          <w:szCs w:val="24"/>
        </w:rPr>
      </w:pPr>
    </w:p>
    <w:p w:rsidR="00F823D0" w:rsidRPr="005C2A78" w:rsidRDefault="00F823D0" w:rsidP="00F73D2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9582756DD4546B4A1F67BA06E860601"/>
          </w:placeholder>
        </w:sdtPr>
        <w:sdtContent>
          <w:r>
            <w:rPr>
              <w:rFonts w:eastAsia="Times New Roman" w:cs="Times New Roman"/>
              <w:b/>
              <w:szCs w:val="24"/>
              <w:u w:val="single"/>
            </w:rPr>
            <w:t>RULEMAKING AUTHORITY</w:t>
          </w:r>
        </w:sdtContent>
      </w:sdt>
    </w:p>
    <w:p w:rsidR="00F823D0" w:rsidRPr="006529C4" w:rsidRDefault="00F823D0" w:rsidP="00F73D26">
      <w:pPr>
        <w:spacing w:after="0" w:line="240" w:lineRule="auto"/>
        <w:jc w:val="both"/>
        <w:rPr>
          <w:rFonts w:cs="Times New Roman"/>
          <w:szCs w:val="24"/>
        </w:rPr>
      </w:pPr>
    </w:p>
    <w:p w:rsidR="00F823D0" w:rsidRPr="006529C4" w:rsidRDefault="00F823D0" w:rsidP="00F73D26">
      <w:pPr>
        <w:spacing w:after="0" w:line="240" w:lineRule="auto"/>
        <w:jc w:val="both"/>
        <w:rPr>
          <w:rFonts w:cs="Times New Roman"/>
          <w:szCs w:val="24"/>
        </w:rPr>
      </w:pPr>
      <w:r w:rsidRPr="00BD7538">
        <w:rPr>
          <w:rFonts w:cs="Times New Roman"/>
          <w:szCs w:val="24"/>
        </w:rPr>
        <w:t>Rulemaking authority is expressly granted to the Texas Department of Housing and Community Affairs in SECTION 3 (Section 1201.2135, Occupations Code) of this bill.</w:t>
      </w:r>
    </w:p>
    <w:p w:rsidR="00F823D0" w:rsidRPr="006529C4" w:rsidRDefault="00F823D0" w:rsidP="00F73D26">
      <w:pPr>
        <w:spacing w:after="0" w:line="240" w:lineRule="auto"/>
        <w:jc w:val="both"/>
        <w:rPr>
          <w:rFonts w:cs="Times New Roman"/>
          <w:szCs w:val="24"/>
        </w:rPr>
      </w:pPr>
    </w:p>
    <w:p w:rsidR="00F823D0" w:rsidRPr="005C2A78" w:rsidRDefault="00F823D0" w:rsidP="00F73D2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0303706D0124CC0A908C4055DD55B93"/>
          </w:placeholder>
        </w:sdtPr>
        <w:sdtContent>
          <w:r>
            <w:rPr>
              <w:rFonts w:eastAsia="Times New Roman" w:cs="Times New Roman"/>
              <w:b/>
              <w:szCs w:val="24"/>
              <w:u w:val="single"/>
            </w:rPr>
            <w:t>SECTION BY SECTION ANALYSIS</w:t>
          </w:r>
        </w:sdtContent>
      </w:sdt>
    </w:p>
    <w:p w:rsidR="00F823D0" w:rsidRPr="005C2A78"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jc w:val="both"/>
        <w:rPr>
          <w:rFonts w:eastAsia="Times New Roman" w:cs="Times New Roman"/>
          <w:szCs w:val="24"/>
        </w:rPr>
      </w:pPr>
      <w:r w:rsidRPr="00BD7538">
        <w:rPr>
          <w:rFonts w:eastAsia="Times New Roman" w:cs="Times New Roman"/>
          <w:szCs w:val="24"/>
        </w:rPr>
        <w:t xml:space="preserve">SECTION 1. Amends Subtitle C, Title 2, Estates Code, by adding Chapter 116, as follows: </w:t>
      </w:r>
    </w:p>
    <w:p w:rsidR="00F823D0"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jc w:val="center"/>
        <w:rPr>
          <w:rFonts w:eastAsia="Times New Roman" w:cs="Times New Roman"/>
          <w:szCs w:val="24"/>
        </w:rPr>
      </w:pPr>
      <w:r w:rsidRPr="00BD7538">
        <w:rPr>
          <w:rFonts w:eastAsia="Times New Roman" w:cs="Times New Roman"/>
          <w:szCs w:val="24"/>
        </w:rPr>
        <w:t>CHAPTER 116. BENEFICIARY DESIGNATION FOR CERTAIN MANUFACTURED HOMES</w:t>
      </w:r>
    </w:p>
    <w:p w:rsidR="00F823D0"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116.001. DEFINITIONS. Defines "beneficiary designation," "designated beneficiary," "joint owner with right of survivorship," "joint owner," "manufactured home," and "person."</w:t>
      </w:r>
      <w:r w:rsidRPr="005C2A78">
        <w:rPr>
          <w:rFonts w:eastAsia="Times New Roman" w:cs="Times New Roman"/>
          <w:szCs w:val="24"/>
        </w:rPr>
        <w:t xml:space="preserve"> </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116.002. APPLICABILITY. Provides that this chapter applies only to a manufactured home classified as personal property under Section 2.001 (Manufactured Housing), Property Code.</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116.003. BENEFICIARY DESIGNATION AUTHORIZED. (a) Authorizes an owner of a manufactured home to transfer the owner's interest in the home to</w:t>
      </w:r>
      <w:r>
        <w:rPr>
          <w:rFonts w:eastAsia="Times New Roman" w:cs="Times New Roman"/>
          <w:szCs w:val="24"/>
        </w:rPr>
        <w:t xml:space="preserve"> one or more beneficiaries </w:t>
      </w:r>
      <w:r w:rsidRPr="00BD7538">
        <w:rPr>
          <w:rFonts w:eastAsia="Times New Roman" w:cs="Times New Roman"/>
          <w:szCs w:val="24"/>
        </w:rPr>
        <w:t>effective on the owner's death by designating</w:t>
      </w:r>
      <w:r>
        <w:rPr>
          <w:rFonts w:eastAsia="Times New Roman" w:cs="Times New Roman"/>
          <w:szCs w:val="24"/>
        </w:rPr>
        <w:t xml:space="preserve"> each </w:t>
      </w:r>
      <w:r w:rsidRPr="00BD7538">
        <w:rPr>
          <w:rFonts w:eastAsia="Times New Roman" w:cs="Times New Roman"/>
          <w:szCs w:val="24"/>
        </w:rPr>
        <w:t>beneficiary</w:t>
      </w:r>
      <w:r>
        <w:rPr>
          <w:rFonts w:eastAsia="Times New Roman" w:cs="Times New Roman"/>
          <w:szCs w:val="24"/>
        </w:rPr>
        <w:t xml:space="preserve"> </w:t>
      </w:r>
      <w:r w:rsidRPr="00BD7538">
        <w:rPr>
          <w:rFonts w:eastAsia="Times New Roman" w:cs="Times New Roman"/>
          <w:szCs w:val="24"/>
        </w:rPr>
        <w:t>as provided by Section 1201.2135, Occupations Code.</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sidRPr="00BD7538">
        <w:rPr>
          <w:rFonts w:eastAsia="Times New Roman" w:cs="Times New Roman"/>
          <w:szCs w:val="24"/>
        </w:rPr>
        <w:t>(b) Provides that a beneficiary designation is</w:t>
      </w:r>
      <w:r>
        <w:rPr>
          <w:rFonts w:eastAsia="Times New Roman" w:cs="Times New Roman"/>
          <w:szCs w:val="24"/>
        </w:rPr>
        <w:t>,</w:t>
      </w:r>
      <w:r w:rsidRPr="00BD7538">
        <w:rPr>
          <w:rFonts w:eastAsia="Times New Roman" w:cs="Times New Roman"/>
          <w:szCs w:val="24"/>
        </w:rPr>
        <w:t xml:space="preserve"> subject to Section 116.004(b), revocable and is authorized to be changed at any time without the consent of the designated beneficiary as provided by Section 1201.2135, Occupations Code, a nontestamentary instrument, and effective without notice or delivery to or acceptance by the designated beneficiary during the owner's life or consideration. </w:t>
      </w:r>
    </w:p>
    <w:p w:rsidR="00F823D0"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sidRPr="00BD7538">
        <w:rPr>
          <w:rFonts w:eastAsia="Times New Roman" w:cs="Times New Roman"/>
          <w:szCs w:val="24"/>
        </w:rPr>
        <w:t xml:space="preserve">(c) Prohibits a will from revoking or superseding a beneficiary designation, regardless of when the will is made. </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sidRPr="00BD7538">
        <w:rPr>
          <w:rFonts w:eastAsia="Times New Roman" w:cs="Times New Roman"/>
          <w:szCs w:val="24"/>
        </w:rPr>
        <w:t xml:space="preserve">(d) Authorizes a designated beneficiary to disclaim the designated beneficiary's interest in the manufactured home as provided by Chapter 240 (Texas Uniform Disclaimer of Property Interests Act), Property Code. </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116.004. JOINT OWNERSHIP. (a) Requires that a beneficiary designation, if a manufactured home that is the subject of the beneficiary designation is owned by joint owners with right of survivorship, be made by all of the joint owners.</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sidRPr="00BD7538">
        <w:rPr>
          <w:rFonts w:eastAsia="Times New Roman" w:cs="Times New Roman"/>
          <w:szCs w:val="24"/>
        </w:rPr>
        <w:t>(b) Provides that a beneficiary designation made by joint owners with right of survivorship is authorized to be revoked or changed as provided by Section 1201.2135, Occupations Code, only if it is revoked or changed by all of the joint owners, and is authorized to be revoked or changed by the last surviving joint owner as provided by Section 1201.2135, Occupations Code.</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116.005. EFFECT OF BENEFICIARY DESIGNATION DURING OWNER'S LIFE. Provides that, during a manufactured home owner's life, a beneficiary designation does not affect or create certain rights or interests.</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116.006. EFFECT OF BENEFICIARY DESIGNATION AT OWNER'S OR LAST SURVIVING OWNER'S DEATH. (a) Provides that, on the death of the owner of a manufactured home that is the subject of a beneficiary designation,</w:t>
      </w:r>
      <w:r w:rsidRPr="00BD7538">
        <w:t xml:space="preserve"> </w:t>
      </w:r>
      <w:r w:rsidRPr="00BD7538">
        <w:rPr>
          <w:rFonts w:eastAsia="Times New Roman" w:cs="Times New Roman"/>
          <w:szCs w:val="24"/>
        </w:rPr>
        <w:t>the following rules apply to an interest in the home:</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2160"/>
        <w:jc w:val="both"/>
        <w:rPr>
          <w:rFonts w:eastAsia="Times New Roman" w:cs="Times New Roman"/>
          <w:szCs w:val="24"/>
        </w:rPr>
      </w:pPr>
      <w:r>
        <w:rPr>
          <w:rFonts w:eastAsia="Times New Roman" w:cs="Times New Roman"/>
          <w:szCs w:val="24"/>
        </w:rPr>
        <w:t>(1)</w:t>
      </w:r>
      <w:r w:rsidRPr="00BD7538">
        <w:t xml:space="preserve"> </w:t>
      </w:r>
      <w:r w:rsidRPr="00BD7538">
        <w:rPr>
          <w:rFonts w:eastAsia="Times New Roman" w:cs="Times New Roman"/>
          <w:szCs w:val="24"/>
        </w:rPr>
        <w:t xml:space="preserve">if </w:t>
      </w:r>
      <w:r>
        <w:rPr>
          <w:rFonts w:eastAsia="Times New Roman" w:cs="Times New Roman"/>
          <w:szCs w:val="24"/>
        </w:rPr>
        <w:t xml:space="preserve">any </w:t>
      </w:r>
      <w:r w:rsidRPr="00BD7538">
        <w:rPr>
          <w:rFonts w:eastAsia="Times New Roman" w:cs="Times New Roman"/>
          <w:szCs w:val="24"/>
        </w:rPr>
        <w:t>designated beneficiary survives the owner making the designation by 120 hours, the interest in the home is transferred to</w:t>
      </w:r>
      <w:r>
        <w:rPr>
          <w:rFonts w:eastAsia="Times New Roman" w:cs="Times New Roman"/>
          <w:szCs w:val="24"/>
        </w:rPr>
        <w:t xml:space="preserve"> each surviving designated beneficiary; and </w:t>
      </w:r>
    </w:p>
    <w:p w:rsidR="00F823D0" w:rsidRDefault="00F823D0" w:rsidP="00F73D26">
      <w:pPr>
        <w:spacing w:after="0" w:line="240" w:lineRule="auto"/>
        <w:ind w:left="2160"/>
        <w:jc w:val="both"/>
        <w:rPr>
          <w:rFonts w:eastAsia="Times New Roman" w:cs="Times New Roman"/>
          <w:szCs w:val="24"/>
        </w:rPr>
      </w:pPr>
    </w:p>
    <w:p w:rsidR="00F823D0" w:rsidRDefault="00F823D0" w:rsidP="00F73D26">
      <w:pPr>
        <w:spacing w:after="0" w:line="240" w:lineRule="auto"/>
        <w:ind w:left="2160"/>
        <w:jc w:val="both"/>
        <w:rPr>
          <w:rFonts w:eastAsia="Times New Roman" w:cs="Times New Roman"/>
          <w:szCs w:val="24"/>
        </w:rPr>
      </w:pPr>
      <w:r>
        <w:rPr>
          <w:rFonts w:eastAsia="Times New Roman" w:cs="Times New Roman"/>
          <w:szCs w:val="24"/>
        </w:rPr>
        <w:t>(2)</w:t>
      </w:r>
      <w:r w:rsidRPr="00BD7538">
        <w:t xml:space="preserve"> </w:t>
      </w:r>
      <w:r w:rsidRPr="00BD7538">
        <w:rPr>
          <w:rFonts w:eastAsia="Times New Roman" w:cs="Times New Roman"/>
          <w:szCs w:val="24"/>
        </w:rPr>
        <w:t>if</w:t>
      </w:r>
      <w:r>
        <w:rPr>
          <w:rFonts w:eastAsia="Times New Roman" w:cs="Times New Roman"/>
          <w:szCs w:val="24"/>
        </w:rPr>
        <w:t xml:space="preserve"> each</w:t>
      </w:r>
      <w:r w:rsidRPr="00BD7538">
        <w:rPr>
          <w:rFonts w:eastAsia="Times New Roman" w:cs="Times New Roman"/>
          <w:szCs w:val="24"/>
        </w:rPr>
        <w:t xml:space="preserve"> designated beneficiary fails to survive the owner making the designation by 120 hours, the share of</w:t>
      </w:r>
      <w:r>
        <w:rPr>
          <w:rFonts w:eastAsia="Times New Roman" w:cs="Times New Roman"/>
          <w:szCs w:val="24"/>
        </w:rPr>
        <w:t xml:space="preserve"> each</w:t>
      </w:r>
      <w:r w:rsidRPr="00BD7538">
        <w:rPr>
          <w:rFonts w:eastAsia="Times New Roman" w:cs="Times New Roman"/>
          <w:szCs w:val="24"/>
        </w:rPr>
        <w:t xml:space="preserve"> designated beneficiary lapses, notwithstanding Section 111.052 (Validity of Certain Nontestamentary Instruments and Provisions), and is subject to and passes in accordance with Subchapter D (Failure of Devise; Disposition of Property to Devisee who Predeceases Testator), Chapter 255 (Construction and Interpretation of Wills), as if</w:t>
      </w:r>
      <w:r>
        <w:rPr>
          <w:rFonts w:eastAsia="Times New Roman" w:cs="Times New Roman"/>
          <w:szCs w:val="24"/>
        </w:rPr>
        <w:t xml:space="preserve"> each</w:t>
      </w:r>
      <w:r w:rsidRPr="00BD7538">
        <w:rPr>
          <w:rFonts w:eastAsia="Times New Roman" w:cs="Times New Roman"/>
          <w:szCs w:val="24"/>
        </w:rPr>
        <w:t xml:space="preserve"> beneficiary designation were a devise made in a will.</w:t>
      </w:r>
    </w:p>
    <w:p w:rsidR="00F823D0" w:rsidRDefault="00F823D0" w:rsidP="00F73D26">
      <w:pPr>
        <w:spacing w:after="0" w:line="240" w:lineRule="auto"/>
        <w:ind w:left="216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 xml:space="preserve">(b) Provides that, </w:t>
      </w:r>
      <w:r w:rsidRPr="00BD7538">
        <w:rPr>
          <w:rFonts w:eastAsia="Times New Roman" w:cs="Times New Roman"/>
          <w:szCs w:val="24"/>
        </w:rPr>
        <w:t>if an owner is a joint owner with right of survivorship who is survived by one or more other joint owners, the manufactured home that is the subject of</w:t>
      </w:r>
      <w:r>
        <w:rPr>
          <w:rFonts w:eastAsia="Times New Roman" w:cs="Times New Roman"/>
          <w:szCs w:val="24"/>
        </w:rPr>
        <w:t xml:space="preserve"> a </w:t>
      </w:r>
      <w:r w:rsidRPr="00BD7538">
        <w:rPr>
          <w:rFonts w:eastAsia="Times New Roman" w:cs="Times New Roman"/>
          <w:szCs w:val="24"/>
        </w:rPr>
        <w:t>beneficiary designation belongs to the surviving joint owner or owners. Provides that, if an owner is a joint owner with right of survivorship who is the last surviving joint owner, the beneficiary designation is effective.</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5E4D3C">
        <w:rPr>
          <w:rFonts w:eastAsia="Times New Roman" w:cs="Times New Roman"/>
          <w:szCs w:val="24"/>
        </w:rPr>
        <w:t>Sec. 116.007. CREDITOR CLAIMS; ALLOWANCES IN LIEU OF EXEMPT PROPERTY AND FAMILY ALLOWANCES</w:t>
      </w:r>
      <w:r>
        <w:rPr>
          <w:rFonts w:eastAsia="Times New Roman" w:cs="Times New Roman"/>
          <w:szCs w:val="24"/>
        </w:rPr>
        <w:t xml:space="preserve">. </w:t>
      </w:r>
      <w:r w:rsidRPr="00BD7538">
        <w:rPr>
          <w:rFonts w:eastAsia="Times New Roman" w:cs="Times New Roman"/>
          <w:szCs w:val="24"/>
        </w:rPr>
        <w:t>Provides that certain provisions of the Estates Code apply to a transfer of an owner's interest in a manufactured home by a</w:t>
      </w:r>
      <w:r>
        <w:rPr>
          <w:rFonts w:eastAsia="Times New Roman" w:cs="Times New Roman"/>
          <w:szCs w:val="24"/>
        </w:rPr>
        <w:t xml:space="preserve"> </w:t>
      </w:r>
      <w:r w:rsidRPr="00BD7538">
        <w:rPr>
          <w:rFonts w:eastAsia="Times New Roman" w:cs="Times New Roman"/>
          <w:szCs w:val="24"/>
        </w:rPr>
        <w:t xml:space="preserve">beneficiary designation in the same manner and to the same extent as a transfer of real property under a transfer on death deed under Chapter 114 (Transfer on Death Deed). </w:t>
      </w:r>
    </w:p>
    <w:p w:rsidR="00F823D0"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jc w:val="both"/>
        <w:rPr>
          <w:rFonts w:eastAsia="Times New Roman" w:cs="Times New Roman"/>
          <w:szCs w:val="24"/>
        </w:rPr>
      </w:pPr>
      <w:r w:rsidRPr="00BD7538">
        <w:rPr>
          <w:rFonts w:eastAsia="Times New Roman" w:cs="Times New Roman"/>
          <w:szCs w:val="24"/>
        </w:rPr>
        <w:t>SECTION 2. Amends Section 122.001(1), Estates Code, to redefine "beneficiary."</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jc w:val="both"/>
        <w:rPr>
          <w:rFonts w:eastAsia="Times New Roman" w:cs="Times New Roman"/>
          <w:szCs w:val="24"/>
        </w:rPr>
      </w:pPr>
      <w:r w:rsidRPr="00BD7538">
        <w:rPr>
          <w:rFonts w:eastAsia="Times New Roman" w:cs="Times New Roman"/>
          <w:szCs w:val="24"/>
        </w:rPr>
        <w:t>SECTION 3. Amends Subchapter E, Chapter 1201, Occupations Code, by adding Section 1201.2135, as follows:</w:t>
      </w:r>
    </w:p>
    <w:p w:rsidR="00F823D0" w:rsidRDefault="00F823D0" w:rsidP="00F73D26">
      <w:pPr>
        <w:spacing w:after="0" w:line="240" w:lineRule="auto"/>
        <w:jc w:val="both"/>
        <w:rPr>
          <w:rFonts w:eastAsia="Times New Roman" w:cs="Times New Roman"/>
          <w:szCs w:val="24"/>
        </w:rPr>
      </w:pPr>
    </w:p>
    <w:p w:rsidR="00F823D0" w:rsidRDefault="00F823D0" w:rsidP="00F73D26">
      <w:pPr>
        <w:spacing w:after="0" w:line="240" w:lineRule="auto"/>
        <w:ind w:left="720"/>
        <w:jc w:val="both"/>
        <w:rPr>
          <w:rFonts w:eastAsia="Times New Roman" w:cs="Times New Roman"/>
          <w:szCs w:val="24"/>
        </w:rPr>
      </w:pPr>
      <w:r w:rsidRPr="00BD7538">
        <w:rPr>
          <w:rFonts w:eastAsia="Times New Roman" w:cs="Times New Roman"/>
          <w:szCs w:val="24"/>
        </w:rPr>
        <w:t>Sec. 1201.2135. BENEFICIARY DESIGNATION. (a) Authorizes the owner of a manufactured home to designate</w:t>
      </w:r>
      <w:r>
        <w:rPr>
          <w:rFonts w:eastAsia="Times New Roman" w:cs="Times New Roman"/>
          <w:szCs w:val="24"/>
        </w:rPr>
        <w:t xml:space="preserve"> one or more beneficiaries to whom </w:t>
      </w:r>
      <w:r w:rsidRPr="00BD7538">
        <w:rPr>
          <w:rFonts w:eastAsia="Times New Roman" w:cs="Times New Roman"/>
          <w:szCs w:val="24"/>
        </w:rPr>
        <w:t>the owner's interest in the home transfers on the owner's death as provided by Chapter 116, Estates Code, by submitting an application for the issuance of a new statement of ownership under Section 1201.206 (Application for Issuance of Statement of Ownership) with the designation.</w:t>
      </w:r>
      <w:r>
        <w:rPr>
          <w:rFonts w:eastAsia="Times New Roman" w:cs="Times New Roman"/>
          <w:szCs w:val="24"/>
        </w:rPr>
        <w:t xml:space="preserve"> Requires that the designation, to be effective, state that the transfer of an interest in the home to one or more designated </w:t>
      </w:r>
      <w:r w:rsidRPr="00BD7538">
        <w:rPr>
          <w:rFonts w:eastAsia="Times New Roman" w:cs="Times New Roman"/>
          <w:szCs w:val="24"/>
        </w:rPr>
        <w:t>beneficiar</w:t>
      </w:r>
      <w:r>
        <w:rPr>
          <w:rFonts w:eastAsia="Times New Roman" w:cs="Times New Roman"/>
          <w:szCs w:val="24"/>
        </w:rPr>
        <w:t>ies</w:t>
      </w:r>
      <w:r w:rsidRPr="00BD7538">
        <w:rPr>
          <w:rFonts w:eastAsia="Times New Roman" w:cs="Times New Roman"/>
          <w:szCs w:val="24"/>
        </w:rPr>
        <w:t xml:space="preserve"> is to occur at the transferor's death.</w:t>
      </w:r>
    </w:p>
    <w:p w:rsidR="00F823D0" w:rsidRDefault="00F823D0" w:rsidP="00F73D26">
      <w:pPr>
        <w:spacing w:after="0" w:line="240" w:lineRule="auto"/>
        <w:ind w:left="72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 xml:space="preserve">(b) </w:t>
      </w:r>
      <w:r w:rsidRPr="00BD7538">
        <w:rPr>
          <w:rFonts w:eastAsia="Times New Roman" w:cs="Times New Roman"/>
          <w:szCs w:val="24"/>
        </w:rPr>
        <w:t>Requires that the legal name of a beneficiary designated under this section be included on the statement of ownership</w:t>
      </w:r>
      <w:r>
        <w:rPr>
          <w:rFonts w:eastAsia="Times New Roman" w:cs="Times New Roman"/>
          <w:szCs w:val="24"/>
        </w:rPr>
        <w:t>.</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 xml:space="preserve">(c) </w:t>
      </w:r>
      <w:r w:rsidRPr="00BD7538">
        <w:rPr>
          <w:rFonts w:eastAsia="Times New Roman" w:cs="Times New Roman"/>
          <w:szCs w:val="24"/>
        </w:rPr>
        <w:t>Requires the Texas Department of Housing and Community Affairs (TDHCA) to transfer ownership of a manufactured home to</w:t>
      </w:r>
      <w:r>
        <w:rPr>
          <w:rFonts w:eastAsia="Times New Roman" w:cs="Times New Roman"/>
          <w:szCs w:val="24"/>
        </w:rPr>
        <w:t xml:space="preserve"> the </w:t>
      </w:r>
      <w:r w:rsidRPr="00BD7538">
        <w:rPr>
          <w:rFonts w:eastAsia="Times New Roman" w:cs="Times New Roman"/>
          <w:szCs w:val="24"/>
        </w:rPr>
        <w:t>beneficiary</w:t>
      </w:r>
      <w:r>
        <w:rPr>
          <w:rFonts w:eastAsia="Times New Roman" w:cs="Times New Roman"/>
          <w:szCs w:val="24"/>
        </w:rPr>
        <w:t xml:space="preserve"> or </w:t>
      </w:r>
      <w:r w:rsidRPr="00BD7538">
        <w:rPr>
          <w:rFonts w:eastAsia="Times New Roman" w:cs="Times New Roman"/>
          <w:szCs w:val="24"/>
        </w:rPr>
        <w:t>beneficiar</w:t>
      </w:r>
      <w:r>
        <w:rPr>
          <w:rFonts w:eastAsia="Times New Roman" w:cs="Times New Roman"/>
          <w:szCs w:val="24"/>
        </w:rPr>
        <w:t xml:space="preserve">ies, as applicable, </w:t>
      </w:r>
      <w:r w:rsidRPr="00BD7538">
        <w:rPr>
          <w:rFonts w:eastAsia="Times New Roman" w:cs="Times New Roman"/>
          <w:szCs w:val="24"/>
        </w:rPr>
        <w:t>designated under this section for the home if the</w:t>
      </w:r>
      <w:r>
        <w:rPr>
          <w:rFonts w:eastAsia="Times New Roman" w:cs="Times New Roman"/>
          <w:szCs w:val="24"/>
        </w:rPr>
        <w:t xml:space="preserve"> sole </w:t>
      </w:r>
      <w:r w:rsidRPr="00BD7538">
        <w:rPr>
          <w:rFonts w:eastAsia="Times New Roman" w:cs="Times New Roman"/>
          <w:szCs w:val="24"/>
        </w:rPr>
        <w:t>beneficiary submits</w:t>
      </w:r>
      <w:r>
        <w:rPr>
          <w:rFonts w:eastAsia="Times New Roman" w:cs="Times New Roman"/>
          <w:szCs w:val="24"/>
        </w:rPr>
        <w:t xml:space="preserve"> or all beneficiaries jointly submit, as applicable, an</w:t>
      </w:r>
      <w:r w:rsidRPr="00BD7538">
        <w:rPr>
          <w:rFonts w:eastAsia="Times New Roman" w:cs="Times New Roman"/>
          <w:szCs w:val="24"/>
        </w:rPr>
        <w:t xml:space="preserve"> application for the issuance of a statement of ownership under Section 1201.206 not later than the</w:t>
      </w:r>
      <w:r>
        <w:rPr>
          <w:rFonts w:eastAsia="Times New Roman" w:cs="Times New Roman"/>
          <w:szCs w:val="24"/>
        </w:rPr>
        <w:t xml:space="preserve"> 365th day </w:t>
      </w:r>
      <w:r w:rsidRPr="00BD7538">
        <w:rPr>
          <w:rFonts w:eastAsia="Times New Roman" w:cs="Times New Roman"/>
          <w:szCs w:val="24"/>
        </w:rPr>
        <w:t>after the date of the owner's death or, if the home is owned by joint owners, the last surviving owner's death, as applicable</w:t>
      </w:r>
      <w:r>
        <w:rPr>
          <w:rFonts w:eastAsia="Times New Roman" w:cs="Times New Roman"/>
          <w:szCs w:val="24"/>
        </w:rPr>
        <w:t>,</w:t>
      </w:r>
      <w:r w:rsidRPr="00BD7538">
        <w:rPr>
          <w:rFonts w:eastAsia="Times New Roman" w:cs="Times New Roman"/>
          <w:szCs w:val="24"/>
        </w:rPr>
        <w:t xml:space="preserve"> and satisfactory proof of the death of the owner or owners, as applicable</w:t>
      </w:r>
      <w:r>
        <w:rPr>
          <w:rFonts w:eastAsia="Times New Roman" w:cs="Times New Roman"/>
          <w:szCs w:val="24"/>
        </w:rPr>
        <w:t>.</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 xml:space="preserve">(c-1) Provides that a beneficiary designation made under this section for a manufactured home is void if an application and proof described by Subsection(c) are not submitted to TDHCA before the 366th day after the date of the owner's death, or if the home is owned by joint owners, the last surviving owner's death. </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(d)</w:t>
      </w:r>
      <w:r w:rsidRPr="00BD7538">
        <w:t xml:space="preserve"> </w:t>
      </w:r>
      <w:r w:rsidRPr="00BD7538">
        <w:rPr>
          <w:rFonts w:eastAsia="Times New Roman" w:cs="Times New Roman"/>
          <w:szCs w:val="24"/>
        </w:rPr>
        <w:t>Authorizes a beneficiary designation to changed or revoked by submitting a new application for the issuance of a statement of ownership under Section 1201.206.</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(e)</w:t>
      </w:r>
      <w:r w:rsidRPr="00BD7538">
        <w:t xml:space="preserve"> </w:t>
      </w:r>
      <w:r w:rsidRPr="00BD7538">
        <w:rPr>
          <w:rFonts w:eastAsia="Times New Roman" w:cs="Times New Roman"/>
          <w:szCs w:val="24"/>
        </w:rPr>
        <w:t>Provides that 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 xml:space="preserve">(f) Requires that an application for issuance of a statement of ownership designating a beneficiary in accordance with this section that is mailed to TDHCA be mailed by certified or registered mail, return receipt requested. Provides that the application is considered submitted to TDHCA on the date the certified or registered mail is postmarked. </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ind w:left="1440"/>
        <w:jc w:val="both"/>
        <w:rPr>
          <w:rFonts w:eastAsia="Times New Roman" w:cs="Times New Roman"/>
          <w:szCs w:val="24"/>
        </w:rPr>
      </w:pPr>
      <w:r>
        <w:rPr>
          <w:rFonts w:eastAsia="Times New Roman" w:cs="Times New Roman"/>
          <w:szCs w:val="24"/>
        </w:rPr>
        <w:t>(g)</w:t>
      </w:r>
      <w:r w:rsidRPr="00BD7538">
        <w:t xml:space="preserve"> </w:t>
      </w:r>
      <w:r w:rsidRPr="00BD7538">
        <w:rPr>
          <w:rFonts w:eastAsia="Times New Roman" w:cs="Times New Roman"/>
          <w:szCs w:val="24"/>
        </w:rPr>
        <w:t xml:space="preserve">Authorizes TDHCA to adopt rules to administer this section. </w:t>
      </w:r>
    </w:p>
    <w:p w:rsidR="00F823D0" w:rsidRDefault="00F823D0" w:rsidP="00F73D26">
      <w:pPr>
        <w:spacing w:after="0" w:line="240" w:lineRule="auto"/>
        <w:ind w:left="1440"/>
        <w:jc w:val="both"/>
        <w:rPr>
          <w:rFonts w:eastAsia="Times New Roman" w:cs="Times New Roman"/>
          <w:szCs w:val="24"/>
        </w:rPr>
      </w:pPr>
    </w:p>
    <w:p w:rsidR="00F823D0" w:rsidRDefault="00F823D0" w:rsidP="00F73D26">
      <w:pPr>
        <w:spacing w:after="0" w:line="240" w:lineRule="auto"/>
        <w:jc w:val="both"/>
        <w:rPr>
          <w:rFonts w:eastAsia="Times New Roman" w:cs="Times New Roman"/>
          <w:szCs w:val="24"/>
        </w:rPr>
      </w:pPr>
      <w:r w:rsidRPr="00BD7538">
        <w:rPr>
          <w:rFonts w:eastAsia="Times New Roman" w:cs="Times New Roman"/>
          <w:szCs w:val="24"/>
        </w:rPr>
        <w:t>SECTION 4. Effective date: September 1, 2025.</w:t>
      </w:r>
    </w:p>
    <w:p w:rsidR="00F823D0" w:rsidRPr="00C8671F" w:rsidRDefault="00F823D0" w:rsidP="00F73D26">
      <w:pPr>
        <w:spacing w:after="0" w:line="240" w:lineRule="auto"/>
        <w:ind w:left="1440"/>
        <w:jc w:val="both"/>
        <w:rPr>
          <w:rFonts w:eastAsia="Times New Roman" w:cs="Times New Roman"/>
          <w:szCs w:val="24"/>
        </w:rPr>
      </w:pPr>
    </w:p>
    <w:sectPr w:rsidR="00F823D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6D7A" w:rsidRDefault="00786D7A" w:rsidP="000F1DF9">
      <w:pPr>
        <w:spacing w:after="0" w:line="240" w:lineRule="auto"/>
      </w:pPr>
      <w:r>
        <w:separator/>
      </w:r>
    </w:p>
  </w:endnote>
  <w:endnote w:type="continuationSeparator" w:id="0">
    <w:p w:rsidR="00786D7A" w:rsidRDefault="00786D7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86D7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823D0">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823D0">
                <w:rPr>
                  <w:sz w:val="20"/>
                  <w:szCs w:val="20"/>
                </w:rPr>
                <w:t>H.B. 3395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823D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86D7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6D7A" w:rsidRDefault="00786D7A" w:rsidP="000F1DF9">
      <w:pPr>
        <w:spacing w:after="0" w:line="240" w:lineRule="auto"/>
      </w:pPr>
      <w:r>
        <w:separator/>
      </w:r>
    </w:p>
  </w:footnote>
  <w:footnote w:type="continuationSeparator" w:id="0">
    <w:p w:rsidR="00786D7A" w:rsidRDefault="00786D7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86D7A"/>
    <w:rsid w:val="00833061"/>
    <w:rsid w:val="008A6859"/>
    <w:rsid w:val="0092756C"/>
    <w:rsid w:val="0093341F"/>
    <w:rsid w:val="009562E3"/>
    <w:rsid w:val="00986E9F"/>
    <w:rsid w:val="00A853E1"/>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823D0"/>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430B4"/>
  <w15:docId w15:val="{F932811C-313F-4073-BDE0-72EA6DA4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823D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49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DDE58B1BB46D493EB39DB63C1E0B0FC2"/>
        <w:category>
          <w:name w:val="General"/>
          <w:gallery w:val="placeholder"/>
        </w:category>
        <w:types>
          <w:type w:val="bbPlcHdr"/>
        </w:types>
        <w:behaviors>
          <w:behavior w:val="content"/>
        </w:behaviors>
        <w:guid w:val="{6595DA44-16EF-4878-AD91-BF1BE061A6DC}"/>
      </w:docPartPr>
      <w:docPartBody>
        <w:p w:rsidR="00411C0B" w:rsidRDefault="00411C0B"/>
      </w:docPartBody>
    </w:docPart>
    <w:docPart>
      <w:docPartPr>
        <w:name w:val="6FFE32B246004CEFA7EA1F7EAB2D0B89"/>
        <w:category>
          <w:name w:val="General"/>
          <w:gallery w:val="placeholder"/>
        </w:category>
        <w:types>
          <w:type w:val="bbPlcHdr"/>
        </w:types>
        <w:behaviors>
          <w:behavior w:val="content"/>
        </w:behaviors>
        <w:guid w:val="{78B75D19-4395-4D11-B495-E9520A63D0A4}"/>
      </w:docPartPr>
      <w:docPartBody>
        <w:p w:rsidR="00411C0B" w:rsidRDefault="00411C0B"/>
      </w:docPartBody>
    </w:docPart>
    <w:docPart>
      <w:docPartPr>
        <w:name w:val="2F3A680A81964C45BFB51AF84D159EF0"/>
        <w:category>
          <w:name w:val="General"/>
          <w:gallery w:val="placeholder"/>
        </w:category>
        <w:types>
          <w:type w:val="bbPlcHdr"/>
        </w:types>
        <w:behaviors>
          <w:behavior w:val="content"/>
        </w:behaviors>
        <w:guid w:val="{D59B1A68-D3A9-4B01-B807-3CCFCA02C85E}"/>
      </w:docPartPr>
      <w:docPartBody>
        <w:p w:rsidR="00411C0B" w:rsidRDefault="00411C0B"/>
      </w:docPartBody>
    </w:docPart>
    <w:docPart>
      <w:docPartPr>
        <w:name w:val="4C4AA31AA28C44CC9132D1EBD15795F5"/>
        <w:category>
          <w:name w:val="General"/>
          <w:gallery w:val="placeholder"/>
        </w:category>
        <w:types>
          <w:type w:val="bbPlcHdr"/>
        </w:types>
        <w:behaviors>
          <w:behavior w:val="content"/>
        </w:behaviors>
        <w:guid w:val="{CDE4316A-F9CB-44A7-A0A1-4797348C334A}"/>
      </w:docPartPr>
      <w:docPartBody>
        <w:p w:rsidR="00411C0B" w:rsidRDefault="00411C0B"/>
      </w:docPartBody>
    </w:docPart>
    <w:docPart>
      <w:docPartPr>
        <w:name w:val="3E05810D2A37480D8A9958341D87C2F5"/>
        <w:category>
          <w:name w:val="General"/>
          <w:gallery w:val="placeholder"/>
        </w:category>
        <w:types>
          <w:type w:val="bbPlcHdr"/>
        </w:types>
        <w:behaviors>
          <w:behavior w:val="content"/>
        </w:behaviors>
        <w:guid w:val="{AE96A018-48D9-487C-A581-7B8FE2659CF3}"/>
      </w:docPartPr>
      <w:docPartBody>
        <w:p w:rsidR="00411C0B" w:rsidRDefault="00411C0B"/>
      </w:docPartBody>
    </w:docPart>
    <w:docPart>
      <w:docPartPr>
        <w:name w:val="86D39F9405454F12B390043F14746093"/>
        <w:category>
          <w:name w:val="General"/>
          <w:gallery w:val="placeholder"/>
        </w:category>
        <w:types>
          <w:type w:val="bbPlcHdr"/>
        </w:types>
        <w:behaviors>
          <w:behavior w:val="content"/>
        </w:behaviors>
        <w:guid w:val="{A77828A1-7F58-4066-8EE8-B30875A3E5B7}"/>
      </w:docPartPr>
      <w:docPartBody>
        <w:p w:rsidR="00411C0B" w:rsidRDefault="00411C0B"/>
      </w:docPartBody>
    </w:docPart>
    <w:docPart>
      <w:docPartPr>
        <w:name w:val="303F52CA23824BF4B2A2A587AB196504"/>
        <w:category>
          <w:name w:val="General"/>
          <w:gallery w:val="placeholder"/>
        </w:category>
        <w:types>
          <w:type w:val="bbPlcHdr"/>
        </w:types>
        <w:behaviors>
          <w:behavior w:val="content"/>
        </w:behaviors>
        <w:guid w:val="{1A755F49-6CAB-43BA-B174-2C4AB830D330}"/>
      </w:docPartPr>
      <w:docPartBody>
        <w:p w:rsidR="00411C0B" w:rsidRDefault="00411C0B"/>
      </w:docPartBody>
    </w:docPart>
    <w:docPart>
      <w:docPartPr>
        <w:name w:val="C730882BA3A34D5C94B245CC208699B1"/>
        <w:category>
          <w:name w:val="General"/>
          <w:gallery w:val="placeholder"/>
        </w:category>
        <w:types>
          <w:type w:val="bbPlcHdr"/>
        </w:types>
        <w:behaviors>
          <w:behavior w:val="content"/>
        </w:behaviors>
        <w:guid w:val="{0BE0DA5D-37B6-441D-934F-DFFA4E85E033}"/>
      </w:docPartPr>
      <w:docPartBody>
        <w:p w:rsidR="00411C0B" w:rsidRDefault="00411C0B"/>
      </w:docPartBody>
    </w:docPart>
    <w:docPart>
      <w:docPartPr>
        <w:name w:val="B158FF2F775144578F528ADC65F72249"/>
        <w:category>
          <w:name w:val="General"/>
          <w:gallery w:val="placeholder"/>
        </w:category>
        <w:types>
          <w:type w:val="bbPlcHdr"/>
        </w:types>
        <w:behaviors>
          <w:behavior w:val="content"/>
        </w:behaviors>
        <w:guid w:val="{0AF617DA-00F0-4287-A591-3C58B77E4B8D}"/>
      </w:docPartPr>
      <w:docPartBody>
        <w:p w:rsidR="00411C0B" w:rsidRDefault="00411C0B"/>
      </w:docPartBody>
    </w:docPart>
    <w:docPart>
      <w:docPartPr>
        <w:name w:val="555D4E2F030B4BEEB4551964878F683F"/>
        <w:category>
          <w:name w:val="General"/>
          <w:gallery w:val="placeholder"/>
        </w:category>
        <w:types>
          <w:type w:val="bbPlcHdr"/>
        </w:types>
        <w:behaviors>
          <w:behavior w:val="content"/>
        </w:behaviors>
        <w:guid w:val="{75E2162B-C40C-44D7-8BE8-740F42BA4C00}"/>
      </w:docPartPr>
      <w:docPartBody>
        <w:p w:rsidR="00411C0B" w:rsidRDefault="00D6276E" w:rsidP="00D6276E">
          <w:pPr>
            <w:pStyle w:val="555D4E2F030B4BEEB4551964878F683F"/>
          </w:pPr>
          <w:r w:rsidRPr="00A30DD1">
            <w:rPr>
              <w:rStyle w:val="PlaceholderText"/>
            </w:rPr>
            <w:t>Click here to enter a date.</w:t>
          </w:r>
        </w:p>
      </w:docPartBody>
    </w:docPart>
    <w:docPart>
      <w:docPartPr>
        <w:name w:val="1FDF0F75E40F49AEA37EE51C3596F923"/>
        <w:category>
          <w:name w:val="General"/>
          <w:gallery w:val="placeholder"/>
        </w:category>
        <w:types>
          <w:type w:val="bbPlcHdr"/>
        </w:types>
        <w:behaviors>
          <w:behavior w:val="content"/>
        </w:behaviors>
        <w:guid w:val="{9E569CFF-5270-4436-8D72-6EA0E58A2120}"/>
      </w:docPartPr>
      <w:docPartBody>
        <w:p w:rsidR="00411C0B" w:rsidRDefault="00411C0B"/>
      </w:docPartBody>
    </w:docPart>
    <w:docPart>
      <w:docPartPr>
        <w:name w:val="EBFC172EDF294B3D8AA44340DC0F5CBF"/>
        <w:category>
          <w:name w:val="General"/>
          <w:gallery w:val="placeholder"/>
        </w:category>
        <w:types>
          <w:type w:val="bbPlcHdr"/>
        </w:types>
        <w:behaviors>
          <w:behavior w:val="content"/>
        </w:behaviors>
        <w:guid w:val="{4E1D7E82-B49E-481A-A0CB-65F84888674F}"/>
      </w:docPartPr>
      <w:docPartBody>
        <w:p w:rsidR="00411C0B" w:rsidRDefault="00411C0B"/>
      </w:docPartBody>
    </w:docPart>
    <w:docPart>
      <w:docPartPr>
        <w:name w:val="4440D3EE8CEC4893A21103D7E77F5ED4"/>
        <w:category>
          <w:name w:val="General"/>
          <w:gallery w:val="placeholder"/>
        </w:category>
        <w:types>
          <w:type w:val="bbPlcHdr"/>
        </w:types>
        <w:behaviors>
          <w:behavior w:val="content"/>
        </w:behaviors>
        <w:guid w:val="{C24B3DA6-B7F9-43D1-94EB-47DB549AB83C}"/>
      </w:docPartPr>
      <w:docPartBody>
        <w:p w:rsidR="00411C0B" w:rsidRDefault="00D6276E" w:rsidP="00D6276E">
          <w:pPr>
            <w:pStyle w:val="4440D3EE8CEC4893A21103D7E77F5ED4"/>
          </w:pPr>
          <w:r>
            <w:rPr>
              <w:rFonts w:eastAsia="Times New Roman" w:cs="Times New Roman"/>
              <w:bCs/>
            </w:rPr>
            <w:t xml:space="preserve"> </w:t>
          </w:r>
        </w:p>
      </w:docPartBody>
    </w:docPart>
    <w:docPart>
      <w:docPartPr>
        <w:name w:val="09582756DD4546B4A1F67BA06E860601"/>
        <w:category>
          <w:name w:val="General"/>
          <w:gallery w:val="placeholder"/>
        </w:category>
        <w:types>
          <w:type w:val="bbPlcHdr"/>
        </w:types>
        <w:behaviors>
          <w:behavior w:val="content"/>
        </w:behaviors>
        <w:guid w:val="{A9C3F141-4F5E-4BB2-AD41-6E8B59356705}"/>
      </w:docPartPr>
      <w:docPartBody>
        <w:p w:rsidR="00411C0B" w:rsidRDefault="00411C0B"/>
      </w:docPartBody>
    </w:docPart>
    <w:docPart>
      <w:docPartPr>
        <w:name w:val="70303706D0124CC0A908C4055DD55B93"/>
        <w:category>
          <w:name w:val="General"/>
          <w:gallery w:val="placeholder"/>
        </w:category>
        <w:types>
          <w:type w:val="bbPlcHdr"/>
        </w:types>
        <w:behaviors>
          <w:behavior w:val="content"/>
        </w:behaviors>
        <w:guid w:val="{FAD8C684-51AD-4195-875C-EC375D8439A9}"/>
      </w:docPartPr>
      <w:docPartBody>
        <w:p w:rsidR="00411C0B" w:rsidRDefault="00411C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11C0B"/>
    <w:rsid w:val="004816E8"/>
    <w:rsid w:val="00493D6D"/>
    <w:rsid w:val="00576003"/>
    <w:rsid w:val="005B408E"/>
    <w:rsid w:val="005D31F2"/>
    <w:rsid w:val="00635291"/>
    <w:rsid w:val="006959CC"/>
    <w:rsid w:val="00696675"/>
    <w:rsid w:val="006B0016"/>
    <w:rsid w:val="008C55F7"/>
    <w:rsid w:val="0090598B"/>
    <w:rsid w:val="0092756C"/>
    <w:rsid w:val="00984D6C"/>
    <w:rsid w:val="00A54AD6"/>
    <w:rsid w:val="00A57564"/>
    <w:rsid w:val="00B252A4"/>
    <w:rsid w:val="00B5530B"/>
    <w:rsid w:val="00C129E8"/>
    <w:rsid w:val="00C968BA"/>
    <w:rsid w:val="00D6276E"/>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276E"/>
    <w:rPr>
      <w:color w:val="808080"/>
    </w:rPr>
  </w:style>
  <w:style w:type="paragraph" w:customStyle="1" w:styleId="555D4E2F030B4BEEB4551964878F683F">
    <w:name w:val="555D4E2F030B4BEEB4551964878F683F"/>
    <w:rsid w:val="00D6276E"/>
    <w:pPr>
      <w:spacing w:after="160" w:line="278" w:lineRule="auto"/>
    </w:pPr>
    <w:rPr>
      <w:kern w:val="2"/>
      <w:sz w:val="24"/>
      <w:szCs w:val="24"/>
      <w14:ligatures w14:val="standardContextual"/>
    </w:rPr>
  </w:style>
  <w:style w:type="paragraph" w:customStyle="1" w:styleId="4440D3EE8CEC4893A21103D7E77F5ED4">
    <w:name w:val="4440D3EE8CEC4893A21103D7E77F5ED4"/>
    <w:rsid w:val="00D6276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1249</Words>
  <Characters>7121</Characters>
  <Application>Microsoft Office Word</Application>
  <DocSecurity>0</DocSecurity>
  <Lines>59</Lines>
  <Paragraphs>16</Paragraphs>
  <ScaleCrop>false</ScaleCrop>
  <Company>Texas Legislative Council</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2025-05-13T22:43:00Z</cp:lastPrinted>
  <dcterms:created xsi:type="dcterms:W3CDTF">2015-05-29T14:24:00Z</dcterms:created>
  <dcterms:modified xsi:type="dcterms:W3CDTF">2025-05-13T22:43:00Z</dcterms:modified>
</cp:coreProperties>
</file>

<file path=docProps/custom.xml><?xml version="1.0" encoding="utf-8"?>
<op:Properties xmlns:vt="http://schemas.openxmlformats.org/officeDocument/2006/docPropsVTypes" xmlns:op="http://schemas.openxmlformats.org/officeDocument/2006/custom-properties"/>
</file>