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2265C" w14:paraId="42084873" w14:textId="77777777" w:rsidTr="00345119">
        <w:tc>
          <w:tcPr>
            <w:tcW w:w="9576" w:type="dxa"/>
            <w:noWrap/>
          </w:tcPr>
          <w:p w14:paraId="5270876D" w14:textId="77777777" w:rsidR="008423E4" w:rsidRPr="0022177D" w:rsidRDefault="00284511" w:rsidP="00AA5FC4">
            <w:pPr>
              <w:pStyle w:val="Heading1"/>
            </w:pPr>
            <w:r w:rsidRPr="00631897">
              <w:t>BILL ANALYSIS</w:t>
            </w:r>
          </w:p>
        </w:tc>
      </w:tr>
    </w:tbl>
    <w:p w14:paraId="52D0342D" w14:textId="77777777" w:rsidR="008423E4" w:rsidRPr="0022177D" w:rsidRDefault="008423E4" w:rsidP="00AA5FC4">
      <w:pPr>
        <w:jc w:val="center"/>
      </w:pPr>
    </w:p>
    <w:p w14:paraId="186E785E" w14:textId="77777777" w:rsidR="008423E4" w:rsidRPr="00B31F0E" w:rsidRDefault="008423E4" w:rsidP="00AA5FC4"/>
    <w:p w14:paraId="610C75B4" w14:textId="77777777" w:rsidR="008423E4" w:rsidRPr="00742794" w:rsidRDefault="008423E4" w:rsidP="00AA5FC4">
      <w:pPr>
        <w:tabs>
          <w:tab w:val="right" w:pos="9360"/>
        </w:tabs>
      </w:pPr>
    </w:p>
    <w:tbl>
      <w:tblPr>
        <w:tblW w:w="0" w:type="auto"/>
        <w:tblLayout w:type="fixed"/>
        <w:tblLook w:val="01E0" w:firstRow="1" w:lastRow="1" w:firstColumn="1" w:lastColumn="1" w:noHBand="0" w:noVBand="0"/>
      </w:tblPr>
      <w:tblGrid>
        <w:gridCol w:w="9576"/>
      </w:tblGrid>
      <w:tr w:rsidR="0042265C" w14:paraId="14B72E33" w14:textId="77777777" w:rsidTr="00345119">
        <w:tc>
          <w:tcPr>
            <w:tcW w:w="9576" w:type="dxa"/>
          </w:tcPr>
          <w:p w14:paraId="360C6623" w14:textId="511474E6" w:rsidR="008423E4" w:rsidRPr="00861995" w:rsidRDefault="00284511" w:rsidP="00AA5FC4">
            <w:pPr>
              <w:jc w:val="right"/>
            </w:pPr>
            <w:r>
              <w:t>C.S.H.B. 3556</w:t>
            </w:r>
          </w:p>
        </w:tc>
      </w:tr>
      <w:tr w:rsidR="0042265C" w14:paraId="4B18D937" w14:textId="77777777" w:rsidTr="00345119">
        <w:tc>
          <w:tcPr>
            <w:tcW w:w="9576" w:type="dxa"/>
          </w:tcPr>
          <w:p w14:paraId="52741A11" w14:textId="5A8D9CAF" w:rsidR="008423E4" w:rsidRPr="00861995" w:rsidRDefault="00284511" w:rsidP="00AA5FC4">
            <w:pPr>
              <w:jc w:val="right"/>
            </w:pPr>
            <w:r>
              <w:t xml:space="preserve">By: </w:t>
            </w:r>
            <w:r w:rsidR="00F31EAA">
              <w:t>Vasut</w:t>
            </w:r>
          </w:p>
        </w:tc>
      </w:tr>
      <w:tr w:rsidR="0042265C" w14:paraId="4733BA44" w14:textId="77777777" w:rsidTr="00345119">
        <w:tc>
          <w:tcPr>
            <w:tcW w:w="9576" w:type="dxa"/>
          </w:tcPr>
          <w:p w14:paraId="1351E10F" w14:textId="2001B17A" w:rsidR="008423E4" w:rsidRPr="00861995" w:rsidRDefault="00284511" w:rsidP="00AA5FC4">
            <w:pPr>
              <w:jc w:val="right"/>
            </w:pPr>
            <w:r>
              <w:t>Culture, Recreation &amp; Tourism</w:t>
            </w:r>
          </w:p>
        </w:tc>
      </w:tr>
      <w:tr w:rsidR="0042265C" w14:paraId="3B13BBDE" w14:textId="77777777" w:rsidTr="00345119">
        <w:tc>
          <w:tcPr>
            <w:tcW w:w="9576" w:type="dxa"/>
          </w:tcPr>
          <w:p w14:paraId="267D96ED" w14:textId="0317177C" w:rsidR="008423E4" w:rsidRDefault="00284511" w:rsidP="00AA5FC4">
            <w:pPr>
              <w:jc w:val="right"/>
            </w:pPr>
            <w:r>
              <w:t>Committee Report (Substituted)</w:t>
            </w:r>
          </w:p>
        </w:tc>
      </w:tr>
    </w:tbl>
    <w:p w14:paraId="7F1B0F35" w14:textId="77777777" w:rsidR="008423E4" w:rsidRDefault="008423E4" w:rsidP="00AA5FC4">
      <w:pPr>
        <w:tabs>
          <w:tab w:val="right" w:pos="9360"/>
        </w:tabs>
      </w:pPr>
    </w:p>
    <w:p w14:paraId="4C23631B" w14:textId="77777777" w:rsidR="008423E4" w:rsidRDefault="008423E4" w:rsidP="00AA5FC4"/>
    <w:p w14:paraId="049DF095" w14:textId="77777777" w:rsidR="008423E4" w:rsidRDefault="008423E4" w:rsidP="00AA5FC4"/>
    <w:tbl>
      <w:tblPr>
        <w:tblW w:w="0" w:type="auto"/>
        <w:tblCellMar>
          <w:left w:w="115" w:type="dxa"/>
          <w:right w:w="115" w:type="dxa"/>
        </w:tblCellMar>
        <w:tblLook w:val="01E0" w:firstRow="1" w:lastRow="1" w:firstColumn="1" w:lastColumn="1" w:noHBand="0" w:noVBand="0"/>
      </w:tblPr>
      <w:tblGrid>
        <w:gridCol w:w="9360"/>
      </w:tblGrid>
      <w:tr w:rsidR="0042265C" w14:paraId="6AA66789" w14:textId="77777777" w:rsidTr="00C06112">
        <w:tc>
          <w:tcPr>
            <w:tcW w:w="9360" w:type="dxa"/>
          </w:tcPr>
          <w:p w14:paraId="3A233B94" w14:textId="77777777" w:rsidR="008423E4" w:rsidRPr="00A8133F" w:rsidRDefault="00284511" w:rsidP="00AA5FC4">
            <w:pPr>
              <w:rPr>
                <w:b/>
              </w:rPr>
            </w:pPr>
            <w:r w:rsidRPr="009C1E9A">
              <w:rPr>
                <w:b/>
                <w:u w:val="single"/>
              </w:rPr>
              <w:t>BACKGROUND AND PURPOSE</w:t>
            </w:r>
            <w:r>
              <w:rPr>
                <w:b/>
              </w:rPr>
              <w:t xml:space="preserve"> </w:t>
            </w:r>
          </w:p>
          <w:p w14:paraId="74B16020" w14:textId="77777777" w:rsidR="008423E4" w:rsidRDefault="008423E4" w:rsidP="00AA5FC4"/>
          <w:p w14:paraId="53C190C7" w14:textId="3BA21366" w:rsidR="008423E4" w:rsidRDefault="00284511" w:rsidP="00AA5FC4">
            <w:pPr>
              <w:pStyle w:val="Header"/>
              <w:tabs>
                <w:tab w:val="clear" w:pos="4320"/>
                <w:tab w:val="clear" w:pos="8640"/>
              </w:tabs>
              <w:jc w:val="both"/>
            </w:pPr>
            <w:r w:rsidRPr="006D693D">
              <w:t xml:space="preserve">The </w:t>
            </w:r>
            <w:r>
              <w:t xml:space="preserve">bill author has informed the committee that Texas is home to several National Wildlife Refuges along the Gulf </w:t>
            </w:r>
            <w:r>
              <w:t>Coast that provide a sanctuary for migrating birds and other wildlife. According to the U.S. Fish and Wildlife Service, birds are particularly susceptible to collisions with tall structures, with collision risk increasing as structures reach heights commonly used by birds during migration movements. C.S.H.B.</w:t>
            </w:r>
            <w:r w:rsidRPr="006D693D">
              <w:t xml:space="preserve"> 3556 seeks to </w:t>
            </w:r>
            <w:r>
              <w:t xml:space="preserve">mitigate the impact on wildlife, including birds, of construction of structures taller than 500 feet in certain counties </w:t>
            </w:r>
            <w:r w:rsidR="00372F67">
              <w:t>bordering the Gulf of Mexico and in which a national refuge is wholly or partly located, as well as adjacent counties</w:t>
            </w:r>
            <w:r>
              <w:t>. The bill requires</w:t>
            </w:r>
            <w:r w:rsidRPr="006D693D">
              <w:t xml:space="preserve"> </w:t>
            </w:r>
            <w:r>
              <w:t>advance notice of the construction of such structures to the Parks and Wildlife Department (TPWD) so TPWD can evaluate the structure's potential impact and seek judicial relief to limit or enjoin construction if TPWD determines that construction of the structure would materially harm wildlife in Texas</w:t>
            </w:r>
            <w:r w:rsidRPr="006D693D">
              <w:t>.</w:t>
            </w:r>
          </w:p>
          <w:p w14:paraId="43DC0486" w14:textId="77777777" w:rsidR="008423E4" w:rsidRPr="00E26B13" w:rsidRDefault="008423E4" w:rsidP="00AA5FC4">
            <w:pPr>
              <w:rPr>
                <w:b/>
              </w:rPr>
            </w:pPr>
          </w:p>
        </w:tc>
      </w:tr>
      <w:tr w:rsidR="0042265C" w14:paraId="77E858DD" w14:textId="77777777" w:rsidTr="00C06112">
        <w:tc>
          <w:tcPr>
            <w:tcW w:w="9360" w:type="dxa"/>
          </w:tcPr>
          <w:p w14:paraId="0CDEF154" w14:textId="77777777" w:rsidR="0017725B" w:rsidRDefault="00284511" w:rsidP="00AA5FC4">
            <w:pPr>
              <w:rPr>
                <w:b/>
                <w:u w:val="single"/>
              </w:rPr>
            </w:pPr>
            <w:r>
              <w:rPr>
                <w:b/>
                <w:u w:val="single"/>
              </w:rPr>
              <w:t>CRIMINAL JUSTICE IMPACT</w:t>
            </w:r>
          </w:p>
          <w:p w14:paraId="5FDCCEF9" w14:textId="77777777" w:rsidR="0017725B" w:rsidRDefault="0017725B" w:rsidP="00AA5FC4">
            <w:pPr>
              <w:rPr>
                <w:b/>
                <w:u w:val="single"/>
              </w:rPr>
            </w:pPr>
          </w:p>
          <w:p w14:paraId="5D5F880D" w14:textId="34F33816" w:rsidR="00036A93" w:rsidRPr="00036A93" w:rsidRDefault="00284511" w:rsidP="00AA5FC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B069E00" w14:textId="77777777" w:rsidR="0017725B" w:rsidRPr="0017725B" w:rsidRDefault="0017725B" w:rsidP="00AA5FC4">
            <w:pPr>
              <w:rPr>
                <w:b/>
                <w:u w:val="single"/>
              </w:rPr>
            </w:pPr>
          </w:p>
        </w:tc>
      </w:tr>
      <w:tr w:rsidR="0042265C" w14:paraId="68BB655E" w14:textId="77777777" w:rsidTr="00C06112">
        <w:tc>
          <w:tcPr>
            <w:tcW w:w="9360" w:type="dxa"/>
          </w:tcPr>
          <w:p w14:paraId="27A601A9" w14:textId="77777777" w:rsidR="008423E4" w:rsidRPr="00A8133F" w:rsidRDefault="00284511" w:rsidP="00AA5FC4">
            <w:pPr>
              <w:rPr>
                <w:b/>
              </w:rPr>
            </w:pPr>
            <w:r w:rsidRPr="009C1E9A">
              <w:rPr>
                <w:b/>
                <w:u w:val="single"/>
              </w:rPr>
              <w:t>RULEMAKING AUTHORITY</w:t>
            </w:r>
            <w:r>
              <w:rPr>
                <w:b/>
              </w:rPr>
              <w:t xml:space="preserve"> </w:t>
            </w:r>
          </w:p>
          <w:p w14:paraId="269A6F1D" w14:textId="77777777" w:rsidR="008423E4" w:rsidRDefault="008423E4" w:rsidP="00AA5FC4"/>
          <w:p w14:paraId="44D0BC27" w14:textId="16CEF505" w:rsidR="00036A93" w:rsidRDefault="00284511" w:rsidP="00AA5FC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C6BA591" w14:textId="77777777" w:rsidR="008423E4" w:rsidRPr="00E21FDC" w:rsidRDefault="008423E4" w:rsidP="00AA5FC4">
            <w:pPr>
              <w:rPr>
                <w:b/>
              </w:rPr>
            </w:pPr>
          </w:p>
        </w:tc>
      </w:tr>
      <w:tr w:rsidR="0042265C" w14:paraId="795D6157" w14:textId="77777777" w:rsidTr="00C06112">
        <w:tc>
          <w:tcPr>
            <w:tcW w:w="9360" w:type="dxa"/>
          </w:tcPr>
          <w:p w14:paraId="782CC21A" w14:textId="77777777" w:rsidR="008423E4" w:rsidRPr="00A8133F" w:rsidRDefault="00284511" w:rsidP="00AA5FC4">
            <w:pPr>
              <w:rPr>
                <w:b/>
              </w:rPr>
            </w:pPr>
            <w:r w:rsidRPr="009C1E9A">
              <w:rPr>
                <w:b/>
                <w:u w:val="single"/>
              </w:rPr>
              <w:t>ANALYSIS</w:t>
            </w:r>
            <w:r>
              <w:rPr>
                <w:b/>
              </w:rPr>
              <w:t xml:space="preserve"> </w:t>
            </w:r>
          </w:p>
          <w:p w14:paraId="681F626B" w14:textId="77777777" w:rsidR="008423E4" w:rsidRDefault="008423E4" w:rsidP="00AA5FC4"/>
          <w:p w14:paraId="62A43DB6" w14:textId="77777777" w:rsidR="00036A93" w:rsidRDefault="00284511" w:rsidP="00AA5FC4">
            <w:pPr>
              <w:pStyle w:val="Header"/>
              <w:tabs>
                <w:tab w:val="clear" w:pos="4320"/>
                <w:tab w:val="clear" w:pos="8640"/>
              </w:tabs>
              <w:jc w:val="both"/>
            </w:pPr>
            <w:r>
              <w:t>C.S.H.B.</w:t>
            </w:r>
            <w:r w:rsidRPr="008A18EF">
              <w:t xml:space="preserve"> 3556</w:t>
            </w:r>
            <w:r>
              <w:t xml:space="preserve"> amends the </w:t>
            </w:r>
            <w:r w:rsidRPr="008A18EF">
              <w:t>Parks and Wildlife Code</w:t>
            </w:r>
            <w:r>
              <w:t xml:space="preserve"> to prohibit a person from </w:t>
            </w:r>
            <w:r w:rsidRPr="00360F84">
              <w:t>construct</w:t>
            </w:r>
            <w:r>
              <w:t>ing</w:t>
            </w:r>
            <w:r w:rsidRPr="00360F84">
              <w:t xml:space="preserve"> a structure taller than 500 feet </w:t>
            </w:r>
            <w:r>
              <w:t xml:space="preserve">in a certain area unless the person </w:t>
            </w:r>
            <w:r w:rsidRPr="008A18EF">
              <w:t>provide</w:t>
            </w:r>
            <w:r>
              <w:t>s</w:t>
            </w:r>
            <w:r w:rsidRPr="008A18EF">
              <w:t xml:space="preserve"> notice to the </w:t>
            </w:r>
            <w:r w:rsidRPr="003704E2">
              <w:t xml:space="preserve">Parks and Wildlife Department (TPWD) </w:t>
            </w:r>
            <w:r w:rsidRPr="00E0664E">
              <w:t xml:space="preserve">not later than the 90th day before the date the person begins </w:t>
            </w:r>
            <w:r>
              <w:t xml:space="preserve">the </w:t>
            </w:r>
            <w:r w:rsidRPr="008A18EF">
              <w:t>construction</w:t>
            </w:r>
            <w:r>
              <w:t>.</w:t>
            </w:r>
            <w:r w:rsidRPr="008A18EF">
              <w:t xml:space="preserve"> </w:t>
            </w:r>
            <w:r>
              <w:t>The bill applies only in a county with</w:t>
            </w:r>
            <w:r w:rsidRPr="008A18EF">
              <w:t xml:space="preserve"> a population of less than 500,000 </w:t>
            </w:r>
            <w:r>
              <w:t>that meets one of the following criteria:</w:t>
            </w:r>
          </w:p>
          <w:p w14:paraId="51E062A8" w14:textId="77777777" w:rsidR="00036A93" w:rsidRDefault="00284511" w:rsidP="00AA5FC4">
            <w:pPr>
              <w:pStyle w:val="Header"/>
              <w:numPr>
                <w:ilvl w:val="0"/>
                <w:numId w:val="2"/>
              </w:numPr>
              <w:jc w:val="both"/>
            </w:pPr>
            <w:r>
              <w:t xml:space="preserve">the county borders the Gulf of Mexico and is a county </w:t>
            </w:r>
            <w:r w:rsidRPr="00E0664E">
              <w:t>in which a national wildlife refuge is wholly or partly located</w:t>
            </w:r>
            <w:r>
              <w:t>; or</w:t>
            </w:r>
          </w:p>
          <w:p w14:paraId="2835A452" w14:textId="77777777" w:rsidR="00036A93" w:rsidRDefault="00284511" w:rsidP="00AA5FC4">
            <w:pPr>
              <w:pStyle w:val="Header"/>
              <w:numPr>
                <w:ilvl w:val="0"/>
                <w:numId w:val="2"/>
              </w:numPr>
              <w:jc w:val="both"/>
            </w:pPr>
            <w:r>
              <w:t xml:space="preserve">the county </w:t>
            </w:r>
            <w:r w:rsidRPr="008A18EF">
              <w:t xml:space="preserve">is adjacent to </w:t>
            </w:r>
            <w:r>
              <w:t xml:space="preserve">such </w:t>
            </w:r>
            <w:r w:rsidRPr="008A18EF">
              <w:t>a county</w:t>
            </w:r>
            <w:r>
              <w:t>.</w:t>
            </w:r>
          </w:p>
          <w:p w14:paraId="2CED96BC" w14:textId="77777777" w:rsidR="00036A93" w:rsidRDefault="00284511" w:rsidP="00AA5FC4">
            <w:pPr>
              <w:pStyle w:val="Header"/>
              <w:jc w:val="both"/>
            </w:pPr>
            <w:r>
              <w:t xml:space="preserve">The bill </w:t>
            </w:r>
            <w:r w:rsidRPr="00E5416B">
              <w:t>authorizes TPWD to bring an action for injunctive relief as provided by the bill's provisions to enjoin a violation of t</w:t>
            </w:r>
            <w:r>
              <w:t>hat prohibition</w:t>
            </w:r>
            <w:r w:rsidRPr="00E5416B">
              <w:t xml:space="preserve">. </w:t>
            </w:r>
            <w:r>
              <w:t>The bill requires the notice to include</w:t>
            </w:r>
            <w:r w:rsidRPr="00E8529C">
              <w:t xml:space="preserve"> sufficient detail for </w:t>
            </w:r>
            <w:r>
              <w:t xml:space="preserve">TPWD </w:t>
            </w:r>
            <w:r w:rsidRPr="00E8529C">
              <w:t xml:space="preserve">to reasonably evaluate </w:t>
            </w:r>
            <w:r>
              <w:t>the potential</w:t>
            </w:r>
            <w:r w:rsidRPr="00E8529C">
              <w:t xml:space="preserve"> impact </w:t>
            </w:r>
            <w:r>
              <w:t xml:space="preserve">of the proposed structure </w:t>
            </w:r>
            <w:r w:rsidRPr="00E8529C">
              <w:t>on wildlife.</w:t>
            </w:r>
          </w:p>
          <w:p w14:paraId="31BC85EF" w14:textId="77777777" w:rsidR="00036A93" w:rsidRDefault="00036A93" w:rsidP="00AA5FC4">
            <w:pPr>
              <w:pStyle w:val="Header"/>
              <w:jc w:val="both"/>
            </w:pPr>
          </w:p>
          <w:p w14:paraId="286B0149" w14:textId="77777777" w:rsidR="00036A93" w:rsidRDefault="00284511" w:rsidP="00AA5FC4">
            <w:pPr>
              <w:pStyle w:val="Header"/>
              <w:jc w:val="both"/>
            </w:pPr>
            <w:r>
              <w:t xml:space="preserve">C.S.H.B. 3556 authorizes TPWD, not </w:t>
            </w:r>
            <w:r w:rsidRPr="00626242">
              <w:t xml:space="preserve">later than the 90th day after the date </w:t>
            </w:r>
            <w:r>
              <w:t xml:space="preserve">TPWD </w:t>
            </w:r>
            <w:r w:rsidRPr="00626242">
              <w:t xml:space="preserve">receives </w:t>
            </w:r>
            <w:r>
              <w:t xml:space="preserve">the required </w:t>
            </w:r>
            <w:r w:rsidRPr="00626242">
              <w:t>notice</w:t>
            </w:r>
            <w:r>
              <w:t>, to do the following:</w:t>
            </w:r>
          </w:p>
          <w:p w14:paraId="2C1D10BB" w14:textId="77777777" w:rsidR="00036A93" w:rsidRDefault="00284511" w:rsidP="00AA5FC4">
            <w:pPr>
              <w:pStyle w:val="Header"/>
              <w:numPr>
                <w:ilvl w:val="0"/>
                <w:numId w:val="3"/>
              </w:numPr>
              <w:jc w:val="both"/>
            </w:pPr>
            <w:r>
              <w:t>review the notice and evaluate the proposed structure to determine the structure's potential impact on wildlife; and</w:t>
            </w:r>
          </w:p>
          <w:p w14:paraId="7217AD26" w14:textId="77777777" w:rsidR="00036A93" w:rsidRDefault="00284511" w:rsidP="00AA5FC4">
            <w:pPr>
              <w:pStyle w:val="Header"/>
              <w:numPr>
                <w:ilvl w:val="0"/>
                <w:numId w:val="3"/>
              </w:numPr>
              <w:jc w:val="both"/>
            </w:pPr>
            <w:r>
              <w:t>if TPWD determines the proposed structure will materially harm wildlife in Texas, bring an action for injunctive relief to limit or enjoin construction of the structure.</w:t>
            </w:r>
          </w:p>
          <w:p w14:paraId="115A7522" w14:textId="77777777" w:rsidR="00036A93" w:rsidRDefault="00284511" w:rsidP="00AA5FC4">
            <w:pPr>
              <w:pStyle w:val="Header"/>
              <w:jc w:val="both"/>
            </w:pPr>
            <w:r>
              <w:t xml:space="preserve">The bill authorizes TPWD to </w:t>
            </w:r>
            <w:r w:rsidRPr="002E219C">
              <w:t xml:space="preserve">bring </w:t>
            </w:r>
            <w:r>
              <w:t xml:space="preserve">such </w:t>
            </w:r>
            <w:r w:rsidRPr="002E219C">
              <w:t>an action in a district court for the county in which the structure is being constructed or is proposed to be constructed.</w:t>
            </w:r>
            <w:r>
              <w:t xml:space="preserve"> The bill authorizes the court to grant appropriate injunctive relief if the court finds that a person began construction of the structure in violation of the bill's notice requirement or that the proposed structure will materially harm wildlife in Texas. The bill establishes that TPWD is not required </w:t>
            </w:r>
            <w:r w:rsidRPr="00EA395F">
              <w:t xml:space="preserve">to post a bond </w:t>
            </w:r>
            <w:r>
              <w:t>in an action for</w:t>
            </w:r>
            <w:r w:rsidRPr="00EA395F">
              <w:t xml:space="preserve"> injunctive relief</w:t>
            </w:r>
            <w:r>
              <w:t xml:space="preserve"> under the bill's provision</w:t>
            </w:r>
            <w:r>
              <w:t xml:space="preserve">s. </w:t>
            </w:r>
          </w:p>
          <w:p w14:paraId="564C433C" w14:textId="77777777" w:rsidR="00036A93" w:rsidRDefault="00036A93" w:rsidP="00AA5FC4">
            <w:pPr>
              <w:pStyle w:val="Header"/>
              <w:jc w:val="both"/>
            </w:pPr>
          </w:p>
          <w:p w14:paraId="170F9032" w14:textId="46BC433E" w:rsidR="009C36CD" w:rsidRPr="009C36CD" w:rsidRDefault="00284511" w:rsidP="00AA5FC4">
            <w:pPr>
              <w:pStyle w:val="Header"/>
              <w:tabs>
                <w:tab w:val="clear" w:pos="4320"/>
                <w:tab w:val="clear" w:pos="8640"/>
              </w:tabs>
              <w:jc w:val="both"/>
            </w:pPr>
            <w:r>
              <w:t xml:space="preserve">C.S.H.B. 3556 applies </w:t>
            </w:r>
            <w:r w:rsidRPr="002E219C">
              <w:t xml:space="preserve">only to a person who begins construction of a structure on or after the 90th day after the </w:t>
            </w:r>
            <w:r>
              <w:t xml:space="preserve">bill's </w:t>
            </w:r>
            <w:r w:rsidRPr="002E219C">
              <w:t>effective date</w:t>
            </w:r>
            <w:r>
              <w:t>.</w:t>
            </w:r>
          </w:p>
          <w:p w14:paraId="4B1B822A" w14:textId="77777777" w:rsidR="008423E4" w:rsidRPr="00835628" w:rsidRDefault="008423E4" w:rsidP="00AA5FC4">
            <w:pPr>
              <w:rPr>
                <w:b/>
              </w:rPr>
            </w:pPr>
          </w:p>
        </w:tc>
      </w:tr>
      <w:tr w:rsidR="0042265C" w14:paraId="42A2F215" w14:textId="77777777" w:rsidTr="00C06112">
        <w:tc>
          <w:tcPr>
            <w:tcW w:w="9360" w:type="dxa"/>
          </w:tcPr>
          <w:p w14:paraId="0E6C4FE1" w14:textId="77777777" w:rsidR="008423E4" w:rsidRPr="00A8133F" w:rsidRDefault="00284511" w:rsidP="00AA5FC4">
            <w:pPr>
              <w:rPr>
                <w:b/>
              </w:rPr>
            </w:pPr>
            <w:r w:rsidRPr="009C1E9A">
              <w:rPr>
                <w:b/>
                <w:u w:val="single"/>
              </w:rPr>
              <w:t>EFFECTIVE DATE</w:t>
            </w:r>
            <w:r>
              <w:rPr>
                <w:b/>
              </w:rPr>
              <w:t xml:space="preserve"> </w:t>
            </w:r>
          </w:p>
          <w:p w14:paraId="6C411538" w14:textId="77777777" w:rsidR="008423E4" w:rsidRDefault="008423E4" w:rsidP="00AA5FC4"/>
          <w:p w14:paraId="17D8052D" w14:textId="17D2F8D3" w:rsidR="008423E4" w:rsidRPr="003624F2" w:rsidRDefault="00284511" w:rsidP="00AA5FC4">
            <w:pPr>
              <w:pStyle w:val="Header"/>
              <w:tabs>
                <w:tab w:val="clear" w:pos="4320"/>
                <w:tab w:val="clear" w:pos="8640"/>
              </w:tabs>
              <w:jc w:val="both"/>
            </w:pPr>
            <w:r>
              <w:t>On passage, or, if the bill does not receive the necessary vote, September 1, 2025.</w:t>
            </w:r>
          </w:p>
          <w:p w14:paraId="554B3E54" w14:textId="77777777" w:rsidR="008423E4" w:rsidRPr="00233FDB" w:rsidRDefault="008423E4" w:rsidP="00AA5FC4">
            <w:pPr>
              <w:rPr>
                <w:b/>
              </w:rPr>
            </w:pPr>
          </w:p>
        </w:tc>
      </w:tr>
      <w:tr w:rsidR="0042265C" w14:paraId="48EF1F81" w14:textId="77777777" w:rsidTr="00C06112">
        <w:tc>
          <w:tcPr>
            <w:tcW w:w="9360" w:type="dxa"/>
          </w:tcPr>
          <w:p w14:paraId="4969AC8B" w14:textId="77777777" w:rsidR="00F31EAA" w:rsidRDefault="00284511" w:rsidP="00AA5FC4">
            <w:pPr>
              <w:jc w:val="both"/>
              <w:rPr>
                <w:b/>
                <w:bCs/>
                <w:u w:val="single"/>
              </w:rPr>
            </w:pPr>
            <w:r>
              <w:rPr>
                <w:b/>
                <w:bCs/>
                <w:u w:val="single"/>
              </w:rPr>
              <w:t>COMPARISON OF INTRODUCED AND SUBSTITUTE</w:t>
            </w:r>
          </w:p>
          <w:p w14:paraId="4F8B5037" w14:textId="77777777" w:rsidR="00F94E01" w:rsidRDefault="00F94E01" w:rsidP="00AA5FC4">
            <w:pPr>
              <w:jc w:val="both"/>
              <w:rPr>
                <w:b/>
                <w:bCs/>
                <w:u w:val="single"/>
              </w:rPr>
            </w:pPr>
          </w:p>
          <w:p w14:paraId="2E913BD4" w14:textId="77777777" w:rsidR="00372F67" w:rsidRPr="00036A93" w:rsidRDefault="00284511" w:rsidP="00AA5FC4">
            <w:pPr>
              <w:jc w:val="both"/>
              <w:rPr>
                <w:bCs/>
              </w:rPr>
            </w:pPr>
            <w:r w:rsidRPr="00036A93">
              <w:rPr>
                <w:bCs/>
              </w:rPr>
              <w:t xml:space="preserve">While </w:t>
            </w:r>
            <w:r w:rsidRPr="00036A93">
              <w:rPr>
                <w:bCs/>
              </w:rPr>
              <w:t>C.S.H.B. 3556 may differ from the introduced in minor or nonsubstantive ways, the following summarizes the substantial differences between the introduced and committee substitute versions of the bill.</w:t>
            </w:r>
          </w:p>
          <w:p w14:paraId="14B0F26F" w14:textId="77777777" w:rsidR="00372F67" w:rsidRPr="00036A93" w:rsidRDefault="00372F67" w:rsidP="00AA5FC4">
            <w:pPr>
              <w:jc w:val="both"/>
              <w:rPr>
                <w:bCs/>
              </w:rPr>
            </w:pPr>
          </w:p>
          <w:p w14:paraId="63514B90" w14:textId="77777777" w:rsidR="00372F67" w:rsidRPr="00036A93" w:rsidRDefault="00284511" w:rsidP="00AA5FC4">
            <w:pPr>
              <w:jc w:val="both"/>
              <w:rPr>
                <w:bCs/>
              </w:rPr>
            </w:pPr>
            <w:r w:rsidRPr="00036A93">
              <w:rPr>
                <w:bCs/>
              </w:rPr>
              <w:t xml:space="preserve">Whereas the introduced applied in a county </w:t>
            </w:r>
            <w:r>
              <w:rPr>
                <w:bCs/>
              </w:rPr>
              <w:t>that has</w:t>
            </w:r>
            <w:r w:rsidRPr="00036A93">
              <w:rPr>
                <w:bCs/>
              </w:rPr>
              <w:t xml:space="preserve"> a population </w:t>
            </w:r>
            <w:r>
              <w:rPr>
                <w:bCs/>
              </w:rPr>
              <w:t>of less than 500,000,</w:t>
            </w:r>
            <w:r w:rsidRPr="00036A93">
              <w:rPr>
                <w:bCs/>
              </w:rPr>
              <w:t xml:space="preserve"> borders the Gulf of Mexico</w:t>
            </w:r>
            <w:r>
              <w:rPr>
                <w:bCs/>
              </w:rPr>
              <w:t>,</w:t>
            </w:r>
            <w:r w:rsidRPr="00036A93">
              <w:rPr>
                <w:bCs/>
              </w:rPr>
              <w:t xml:space="preserve"> and contains a National Wildlife Refuge or in a county </w:t>
            </w:r>
            <w:r>
              <w:rPr>
                <w:bCs/>
              </w:rPr>
              <w:t xml:space="preserve">that has such a population and is </w:t>
            </w:r>
            <w:r w:rsidRPr="00036A93">
              <w:rPr>
                <w:bCs/>
              </w:rPr>
              <w:t>adj</w:t>
            </w:r>
            <w:r>
              <w:rPr>
                <w:bCs/>
              </w:rPr>
              <w:t>a</w:t>
            </w:r>
            <w:r w:rsidRPr="00036A93">
              <w:rPr>
                <w:bCs/>
              </w:rPr>
              <w:t>c</w:t>
            </w:r>
            <w:r>
              <w:rPr>
                <w:bCs/>
              </w:rPr>
              <w:t>en</w:t>
            </w:r>
            <w:r w:rsidRPr="00036A93">
              <w:rPr>
                <w:bCs/>
              </w:rPr>
              <w:t xml:space="preserve">t to such a county, the substitute applies in a county with the same population that borders the Gulf of Mexico and in which a national wildlife refuge is wholly or partly located or in a county </w:t>
            </w:r>
            <w:r>
              <w:rPr>
                <w:bCs/>
              </w:rPr>
              <w:t xml:space="preserve">that has such a population and is </w:t>
            </w:r>
            <w:r w:rsidRPr="00036A93">
              <w:rPr>
                <w:bCs/>
              </w:rPr>
              <w:t xml:space="preserve">adjacent to such a county. </w:t>
            </w:r>
          </w:p>
          <w:p w14:paraId="40CCB8D7" w14:textId="77777777" w:rsidR="00372F67" w:rsidRPr="00036A93" w:rsidRDefault="00372F67" w:rsidP="00AA5FC4">
            <w:pPr>
              <w:jc w:val="both"/>
              <w:rPr>
                <w:bCs/>
              </w:rPr>
            </w:pPr>
          </w:p>
          <w:p w14:paraId="08DBEEAB" w14:textId="77777777" w:rsidR="00372F67" w:rsidRPr="00036A93" w:rsidRDefault="00284511" w:rsidP="00AA5FC4">
            <w:pPr>
              <w:jc w:val="both"/>
              <w:rPr>
                <w:bCs/>
              </w:rPr>
            </w:pPr>
            <w:r w:rsidRPr="00036A93">
              <w:rPr>
                <w:bCs/>
              </w:rPr>
              <w:t>The substitute includes a provision absent from the introduced expressly authorizing TPWD to bring an action for injunctive relief as provided by the bill to enjoin a violation of the bill's notice requirement.</w:t>
            </w:r>
          </w:p>
          <w:p w14:paraId="785FD26F" w14:textId="77777777" w:rsidR="00372F67" w:rsidRPr="00036A93" w:rsidRDefault="00372F67" w:rsidP="00AA5FC4">
            <w:pPr>
              <w:jc w:val="both"/>
              <w:rPr>
                <w:bCs/>
              </w:rPr>
            </w:pPr>
          </w:p>
          <w:p w14:paraId="0F18F4FF" w14:textId="77777777" w:rsidR="00372F67" w:rsidRPr="00036A93" w:rsidRDefault="00284511" w:rsidP="00AA5FC4">
            <w:pPr>
              <w:jc w:val="both"/>
              <w:rPr>
                <w:bCs/>
              </w:rPr>
            </w:pPr>
            <w:r w:rsidRPr="00036A93">
              <w:rPr>
                <w:bCs/>
              </w:rPr>
              <w:t>Whereas the introduced authorized TPWD, upon receiving notice under the bill's provisions, to evaluate the proposed structure and, if TPWD determines that construction of the structure or structures would materially damage wildlife in Texas, to seek relief on or before the 90th day after notice is filed to limit or enjoin construction, the substitute authorizes TPWD, not later than the 90th day after the date TPWD receives the required notice, to do the following:</w:t>
            </w:r>
          </w:p>
          <w:p w14:paraId="4B7B9A1A" w14:textId="77777777" w:rsidR="00372F67" w:rsidRPr="00036A93" w:rsidRDefault="00284511" w:rsidP="00AA5FC4">
            <w:pPr>
              <w:numPr>
                <w:ilvl w:val="0"/>
                <w:numId w:val="1"/>
              </w:numPr>
              <w:jc w:val="both"/>
              <w:rPr>
                <w:bCs/>
              </w:rPr>
            </w:pPr>
            <w:r w:rsidRPr="00036A93">
              <w:rPr>
                <w:bCs/>
              </w:rPr>
              <w:t xml:space="preserve">review the notice and evaluate the proposed structure to determine the structure's potential impact on wildlife; and </w:t>
            </w:r>
          </w:p>
          <w:p w14:paraId="5FD3AB83" w14:textId="77777777" w:rsidR="00372F67" w:rsidRPr="00036A93" w:rsidRDefault="00284511" w:rsidP="00AA5FC4">
            <w:pPr>
              <w:numPr>
                <w:ilvl w:val="0"/>
                <w:numId w:val="1"/>
              </w:numPr>
              <w:jc w:val="both"/>
              <w:rPr>
                <w:bCs/>
              </w:rPr>
            </w:pPr>
            <w:r w:rsidRPr="00036A93">
              <w:rPr>
                <w:bCs/>
              </w:rPr>
              <w:t>if TPWD determines the proposed structure will materially harm wildlife in Texas, to bring an action for injunctive relief to limit or enjoin construction of the structure.</w:t>
            </w:r>
          </w:p>
          <w:p w14:paraId="5667B926" w14:textId="77777777" w:rsidR="00372F67" w:rsidRPr="00036A93" w:rsidRDefault="00372F67" w:rsidP="00AA5FC4">
            <w:pPr>
              <w:jc w:val="both"/>
              <w:rPr>
                <w:bCs/>
              </w:rPr>
            </w:pPr>
          </w:p>
          <w:p w14:paraId="6436CA9B" w14:textId="77777777" w:rsidR="00372F67" w:rsidRPr="00036A93" w:rsidRDefault="00284511" w:rsidP="00AA5FC4">
            <w:pPr>
              <w:jc w:val="both"/>
              <w:rPr>
                <w:bCs/>
              </w:rPr>
            </w:pPr>
            <w:r w:rsidRPr="00036A93">
              <w:rPr>
                <w:bCs/>
              </w:rPr>
              <w:t>The substitute omits an authorization present in the introduced for a person</w:t>
            </w:r>
            <w:r w:rsidRPr="00036A93">
              <w:rPr>
                <w:bCs/>
              </w:rPr>
              <w:t xml:space="preserve"> to proceed with construction if TPWD takes no action on or before the 90th day after notice is filed.</w:t>
            </w:r>
          </w:p>
          <w:p w14:paraId="25079A6A" w14:textId="77777777" w:rsidR="00372F67" w:rsidRPr="00036A93" w:rsidRDefault="00372F67" w:rsidP="00AA5FC4">
            <w:pPr>
              <w:jc w:val="both"/>
              <w:rPr>
                <w:bCs/>
              </w:rPr>
            </w:pPr>
          </w:p>
          <w:p w14:paraId="2FBBA2E2" w14:textId="77777777" w:rsidR="00372F67" w:rsidRPr="00036A93" w:rsidRDefault="00284511" w:rsidP="00AA5FC4">
            <w:pPr>
              <w:jc w:val="both"/>
              <w:rPr>
                <w:bCs/>
              </w:rPr>
            </w:pPr>
            <w:r w:rsidRPr="00036A93">
              <w:rPr>
                <w:bCs/>
              </w:rPr>
              <w:t xml:space="preserve">Whereas the introduced authorized a district court of a county in which the structure is proposed to be constructed to restrain and enjoin the person from constructing the structure and to grant injunctive relief on application of TPWD, the substitute authorizes TPWD to bring an action for injunctive relief in a district court for the county in which the structure is being constructed or is proposed to be constructed and </w:t>
            </w:r>
            <w:r>
              <w:rPr>
                <w:bCs/>
              </w:rPr>
              <w:t xml:space="preserve">authorizes the court </w:t>
            </w:r>
            <w:r w:rsidRPr="00036A93">
              <w:rPr>
                <w:bCs/>
              </w:rPr>
              <w:t>to grant appropriate injunctive relief if the court finds that a person began construction of the structure in violation of the bill's notice requirement or that the proposed structure will materially harm wildlife in Texas.</w:t>
            </w:r>
          </w:p>
          <w:p w14:paraId="4C6491CA" w14:textId="77777777" w:rsidR="00372F67" w:rsidRPr="00036A93" w:rsidRDefault="00372F67" w:rsidP="00AA5FC4">
            <w:pPr>
              <w:jc w:val="both"/>
              <w:rPr>
                <w:bCs/>
              </w:rPr>
            </w:pPr>
          </w:p>
          <w:p w14:paraId="51807AAD" w14:textId="4939DC7B" w:rsidR="00372F67" w:rsidRPr="00F31EAA" w:rsidRDefault="00284511" w:rsidP="00AA5FC4">
            <w:pPr>
              <w:jc w:val="both"/>
              <w:rPr>
                <w:b/>
                <w:bCs/>
                <w:u w:val="single"/>
              </w:rPr>
            </w:pPr>
            <w:r w:rsidRPr="00036A93">
              <w:rPr>
                <w:bCs/>
              </w:rPr>
              <w:t>The substitute includes a provision absent from the introduced establishing that the bill's provisions apply only to a person who begins construction of a structure on or after the 90th day after the bill's effective date.</w:t>
            </w:r>
          </w:p>
        </w:tc>
      </w:tr>
    </w:tbl>
    <w:p w14:paraId="7EE0958D" w14:textId="77777777" w:rsidR="004108C3" w:rsidRPr="00AA5FC4" w:rsidRDefault="004108C3" w:rsidP="00AA5FC4">
      <w:pPr>
        <w:rPr>
          <w:sz w:val="10"/>
          <w:szCs w:val="10"/>
        </w:rPr>
      </w:pPr>
    </w:p>
    <w:sectPr w:rsidR="004108C3" w:rsidRPr="00AA5FC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2497" w14:textId="77777777" w:rsidR="00284511" w:rsidRDefault="00284511">
      <w:r>
        <w:separator/>
      </w:r>
    </w:p>
  </w:endnote>
  <w:endnote w:type="continuationSeparator" w:id="0">
    <w:p w14:paraId="1A71B97C" w14:textId="77777777" w:rsidR="00284511" w:rsidRDefault="002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AF4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2265C" w14:paraId="45CD9E97" w14:textId="77777777" w:rsidTr="009C1E9A">
      <w:trPr>
        <w:cantSplit/>
      </w:trPr>
      <w:tc>
        <w:tcPr>
          <w:tcW w:w="0" w:type="pct"/>
        </w:tcPr>
        <w:p w14:paraId="3B87A25C" w14:textId="77777777" w:rsidR="00137D90" w:rsidRDefault="00137D90" w:rsidP="009C1E9A">
          <w:pPr>
            <w:pStyle w:val="Footer"/>
            <w:tabs>
              <w:tab w:val="clear" w:pos="8640"/>
              <w:tab w:val="right" w:pos="9360"/>
            </w:tabs>
          </w:pPr>
        </w:p>
      </w:tc>
      <w:tc>
        <w:tcPr>
          <w:tcW w:w="2395" w:type="pct"/>
        </w:tcPr>
        <w:p w14:paraId="5D6C668E" w14:textId="77777777" w:rsidR="00137D90" w:rsidRDefault="00137D90" w:rsidP="009C1E9A">
          <w:pPr>
            <w:pStyle w:val="Footer"/>
            <w:tabs>
              <w:tab w:val="clear" w:pos="8640"/>
              <w:tab w:val="right" w:pos="9360"/>
            </w:tabs>
          </w:pPr>
        </w:p>
        <w:p w14:paraId="22A74C33" w14:textId="77777777" w:rsidR="001A4310" w:rsidRDefault="001A4310" w:rsidP="009C1E9A">
          <w:pPr>
            <w:pStyle w:val="Footer"/>
            <w:tabs>
              <w:tab w:val="clear" w:pos="8640"/>
              <w:tab w:val="right" w:pos="9360"/>
            </w:tabs>
          </w:pPr>
        </w:p>
        <w:p w14:paraId="0723089D" w14:textId="77777777" w:rsidR="00137D90" w:rsidRDefault="00137D90" w:rsidP="009C1E9A">
          <w:pPr>
            <w:pStyle w:val="Footer"/>
            <w:tabs>
              <w:tab w:val="clear" w:pos="8640"/>
              <w:tab w:val="right" w:pos="9360"/>
            </w:tabs>
          </w:pPr>
        </w:p>
      </w:tc>
      <w:tc>
        <w:tcPr>
          <w:tcW w:w="2453" w:type="pct"/>
        </w:tcPr>
        <w:p w14:paraId="660E1878" w14:textId="77777777" w:rsidR="00137D90" w:rsidRDefault="00137D90" w:rsidP="009C1E9A">
          <w:pPr>
            <w:pStyle w:val="Footer"/>
            <w:tabs>
              <w:tab w:val="clear" w:pos="8640"/>
              <w:tab w:val="right" w:pos="9360"/>
            </w:tabs>
            <w:jc w:val="right"/>
          </w:pPr>
        </w:p>
      </w:tc>
    </w:tr>
    <w:tr w:rsidR="0042265C" w14:paraId="0C52D690" w14:textId="77777777" w:rsidTr="009C1E9A">
      <w:trPr>
        <w:cantSplit/>
      </w:trPr>
      <w:tc>
        <w:tcPr>
          <w:tcW w:w="0" w:type="pct"/>
        </w:tcPr>
        <w:p w14:paraId="7C49EF61" w14:textId="77777777" w:rsidR="00EC379B" w:rsidRDefault="00EC379B" w:rsidP="009C1E9A">
          <w:pPr>
            <w:pStyle w:val="Footer"/>
            <w:tabs>
              <w:tab w:val="clear" w:pos="8640"/>
              <w:tab w:val="right" w:pos="9360"/>
            </w:tabs>
          </w:pPr>
        </w:p>
      </w:tc>
      <w:tc>
        <w:tcPr>
          <w:tcW w:w="2395" w:type="pct"/>
        </w:tcPr>
        <w:p w14:paraId="3B7144FD" w14:textId="16B48B67" w:rsidR="00EC379B" w:rsidRPr="009C1E9A" w:rsidRDefault="00284511" w:rsidP="009C1E9A">
          <w:pPr>
            <w:pStyle w:val="Footer"/>
            <w:tabs>
              <w:tab w:val="clear" w:pos="8640"/>
              <w:tab w:val="right" w:pos="9360"/>
            </w:tabs>
            <w:rPr>
              <w:rFonts w:ascii="Shruti" w:hAnsi="Shruti"/>
              <w:sz w:val="22"/>
            </w:rPr>
          </w:pPr>
          <w:r>
            <w:rPr>
              <w:rFonts w:ascii="Shruti" w:hAnsi="Shruti"/>
              <w:sz w:val="22"/>
            </w:rPr>
            <w:t>89R 28037-D</w:t>
          </w:r>
        </w:p>
      </w:tc>
      <w:tc>
        <w:tcPr>
          <w:tcW w:w="2453" w:type="pct"/>
        </w:tcPr>
        <w:p w14:paraId="0370755B" w14:textId="53CEFEF4" w:rsidR="00EC379B" w:rsidRDefault="00284511" w:rsidP="009C1E9A">
          <w:pPr>
            <w:pStyle w:val="Footer"/>
            <w:tabs>
              <w:tab w:val="clear" w:pos="8640"/>
              <w:tab w:val="right" w:pos="9360"/>
            </w:tabs>
            <w:jc w:val="right"/>
          </w:pPr>
          <w:r>
            <w:fldChar w:fldCharType="begin"/>
          </w:r>
          <w:r>
            <w:instrText xml:space="preserve"> DOCPROPERTY  OTID  \* MERGEFORMAT </w:instrText>
          </w:r>
          <w:r>
            <w:fldChar w:fldCharType="separate"/>
          </w:r>
          <w:r w:rsidR="000018CC">
            <w:t>25.121.2345</w:t>
          </w:r>
          <w:r>
            <w:fldChar w:fldCharType="end"/>
          </w:r>
        </w:p>
      </w:tc>
    </w:tr>
    <w:tr w:rsidR="0042265C" w14:paraId="3742B50E" w14:textId="77777777" w:rsidTr="009C1E9A">
      <w:trPr>
        <w:cantSplit/>
      </w:trPr>
      <w:tc>
        <w:tcPr>
          <w:tcW w:w="0" w:type="pct"/>
        </w:tcPr>
        <w:p w14:paraId="60FE161F" w14:textId="77777777" w:rsidR="00EC379B" w:rsidRDefault="00EC379B" w:rsidP="009C1E9A">
          <w:pPr>
            <w:pStyle w:val="Footer"/>
            <w:tabs>
              <w:tab w:val="clear" w:pos="4320"/>
              <w:tab w:val="clear" w:pos="8640"/>
              <w:tab w:val="left" w:pos="2865"/>
            </w:tabs>
          </w:pPr>
        </w:p>
      </w:tc>
      <w:tc>
        <w:tcPr>
          <w:tcW w:w="2395" w:type="pct"/>
        </w:tcPr>
        <w:p w14:paraId="0EA38BDD" w14:textId="55728A1A"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33966A4" w14:textId="77777777" w:rsidR="00EC379B" w:rsidRDefault="00EC379B" w:rsidP="006D504F">
          <w:pPr>
            <w:pStyle w:val="Footer"/>
            <w:rPr>
              <w:rStyle w:val="PageNumber"/>
            </w:rPr>
          </w:pPr>
        </w:p>
        <w:p w14:paraId="3C2374C0" w14:textId="77777777" w:rsidR="00EC379B" w:rsidRDefault="00EC379B" w:rsidP="009C1E9A">
          <w:pPr>
            <w:pStyle w:val="Footer"/>
            <w:tabs>
              <w:tab w:val="clear" w:pos="8640"/>
              <w:tab w:val="right" w:pos="9360"/>
            </w:tabs>
            <w:jc w:val="right"/>
          </w:pPr>
        </w:p>
      </w:tc>
    </w:tr>
    <w:tr w:rsidR="0042265C" w14:paraId="5CE93E36" w14:textId="77777777" w:rsidTr="009C1E9A">
      <w:trPr>
        <w:cantSplit/>
        <w:trHeight w:val="323"/>
      </w:trPr>
      <w:tc>
        <w:tcPr>
          <w:tcW w:w="0" w:type="pct"/>
          <w:gridSpan w:val="3"/>
        </w:tcPr>
        <w:p w14:paraId="1528A29F" w14:textId="77777777" w:rsidR="00EC379B" w:rsidRDefault="0028451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2F35AA5" w14:textId="77777777" w:rsidR="00EC379B" w:rsidRDefault="00EC379B" w:rsidP="009C1E9A">
          <w:pPr>
            <w:pStyle w:val="Footer"/>
            <w:tabs>
              <w:tab w:val="clear" w:pos="8640"/>
              <w:tab w:val="right" w:pos="9360"/>
            </w:tabs>
            <w:jc w:val="center"/>
          </w:pPr>
        </w:p>
      </w:tc>
    </w:tr>
  </w:tbl>
  <w:p w14:paraId="7B04886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E98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3F8C" w14:textId="77777777" w:rsidR="00284511" w:rsidRDefault="00284511">
      <w:r>
        <w:separator/>
      </w:r>
    </w:p>
  </w:footnote>
  <w:footnote w:type="continuationSeparator" w:id="0">
    <w:p w14:paraId="6C83F1F2" w14:textId="77777777" w:rsidR="00284511" w:rsidRDefault="002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3D1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B8A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340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073E"/>
    <w:multiLevelType w:val="hybridMultilevel"/>
    <w:tmpl w:val="100E6A82"/>
    <w:lvl w:ilvl="0" w:tplc="161C8068">
      <w:start w:val="1"/>
      <w:numFmt w:val="bullet"/>
      <w:lvlText w:val=""/>
      <w:lvlJc w:val="left"/>
      <w:pPr>
        <w:tabs>
          <w:tab w:val="num" w:pos="720"/>
        </w:tabs>
        <w:ind w:left="720" w:hanging="360"/>
      </w:pPr>
      <w:rPr>
        <w:rFonts w:ascii="Symbol" w:hAnsi="Symbol" w:hint="default"/>
      </w:rPr>
    </w:lvl>
    <w:lvl w:ilvl="1" w:tplc="74CE718C" w:tentative="1">
      <w:start w:val="1"/>
      <w:numFmt w:val="bullet"/>
      <w:lvlText w:val="o"/>
      <w:lvlJc w:val="left"/>
      <w:pPr>
        <w:ind w:left="1440" w:hanging="360"/>
      </w:pPr>
      <w:rPr>
        <w:rFonts w:ascii="Courier New" w:hAnsi="Courier New" w:cs="Courier New" w:hint="default"/>
      </w:rPr>
    </w:lvl>
    <w:lvl w:ilvl="2" w:tplc="73BA3064" w:tentative="1">
      <w:start w:val="1"/>
      <w:numFmt w:val="bullet"/>
      <w:lvlText w:val=""/>
      <w:lvlJc w:val="left"/>
      <w:pPr>
        <w:ind w:left="2160" w:hanging="360"/>
      </w:pPr>
      <w:rPr>
        <w:rFonts w:ascii="Wingdings" w:hAnsi="Wingdings" w:hint="default"/>
      </w:rPr>
    </w:lvl>
    <w:lvl w:ilvl="3" w:tplc="B9CEAF4A" w:tentative="1">
      <w:start w:val="1"/>
      <w:numFmt w:val="bullet"/>
      <w:lvlText w:val=""/>
      <w:lvlJc w:val="left"/>
      <w:pPr>
        <w:ind w:left="2880" w:hanging="360"/>
      </w:pPr>
      <w:rPr>
        <w:rFonts w:ascii="Symbol" w:hAnsi="Symbol" w:hint="default"/>
      </w:rPr>
    </w:lvl>
    <w:lvl w:ilvl="4" w:tplc="1BD064CE" w:tentative="1">
      <w:start w:val="1"/>
      <w:numFmt w:val="bullet"/>
      <w:lvlText w:val="o"/>
      <w:lvlJc w:val="left"/>
      <w:pPr>
        <w:ind w:left="3600" w:hanging="360"/>
      </w:pPr>
      <w:rPr>
        <w:rFonts w:ascii="Courier New" w:hAnsi="Courier New" w:cs="Courier New" w:hint="default"/>
      </w:rPr>
    </w:lvl>
    <w:lvl w:ilvl="5" w:tplc="C09A4B1A" w:tentative="1">
      <w:start w:val="1"/>
      <w:numFmt w:val="bullet"/>
      <w:lvlText w:val=""/>
      <w:lvlJc w:val="left"/>
      <w:pPr>
        <w:ind w:left="4320" w:hanging="360"/>
      </w:pPr>
      <w:rPr>
        <w:rFonts w:ascii="Wingdings" w:hAnsi="Wingdings" w:hint="default"/>
      </w:rPr>
    </w:lvl>
    <w:lvl w:ilvl="6" w:tplc="9E20B2E0" w:tentative="1">
      <w:start w:val="1"/>
      <w:numFmt w:val="bullet"/>
      <w:lvlText w:val=""/>
      <w:lvlJc w:val="left"/>
      <w:pPr>
        <w:ind w:left="5040" w:hanging="360"/>
      </w:pPr>
      <w:rPr>
        <w:rFonts w:ascii="Symbol" w:hAnsi="Symbol" w:hint="default"/>
      </w:rPr>
    </w:lvl>
    <w:lvl w:ilvl="7" w:tplc="B96ACBD8" w:tentative="1">
      <w:start w:val="1"/>
      <w:numFmt w:val="bullet"/>
      <w:lvlText w:val="o"/>
      <w:lvlJc w:val="left"/>
      <w:pPr>
        <w:ind w:left="5760" w:hanging="360"/>
      </w:pPr>
      <w:rPr>
        <w:rFonts w:ascii="Courier New" w:hAnsi="Courier New" w:cs="Courier New" w:hint="default"/>
      </w:rPr>
    </w:lvl>
    <w:lvl w:ilvl="8" w:tplc="C1847B80" w:tentative="1">
      <w:start w:val="1"/>
      <w:numFmt w:val="bullet"/>
      <w:lvlText w:val=""/>
      <w:lvlJc w:val="left"/>
      <w:pPr>
        <w:ind w:left="6480" w:hanging="360"/>
      </w:pPr>
      <w:rPr>
        <w:rFonts w:ascii="Wingdings" w:hAnsi="Wingdings" w:hint="default"/>
      </w:rPr>
    </w:lvl>
  </w:abstractNum>
  <w:abstractNum w:abstractNumId="1" w15:restartNumberingAfterBreak="0">
    <w:nsid w:val="797422C9"/>
    <w:multiLevelType w:val="hybridMultilevel"/>
    <w:tmpl w:val="64A46074"/>
    <w:lvl w:ilvl="0" w:tplc="8100499C">
      <w:start w:val="1"/>
      <w:numFmt w:val="bullet"/>
      <w:lvlText w:val=""/>
      <w:lvlJc w:val="left"/>
      <w:pPr>
        <w:tabs>
          <w:tab w:val="num" w:pos="720"/>
        </w:tabs>
        <w:ind w:left="720" w:hanging="360"/>
      </w:pPr>
      <w:rPr>
        <w:rFonts w:ascii="Symbol" w:hAnsi="Symbol" w:hint="default"/>
      </w:rPr>
    </w:lvl>
    <w:lvl w:ilvl="1" w:tplc="7012E14C" w:tentative="1">
      <w:start w:val="1"/>
      <w:numFmt w:val="bullet"/>
      <w:lvlText w:val="o"/>
      <w:lvlJc w:val="left"/>
      <w:pPr>
        <w:ind w:left="1440" w:hanging="360"/>
      </w:pPr>
      <w:rPr>
        <w:rFonts w:ascii="Courier New" w:hAnsi="Courier New" w:cs="Courier New" w:hint="default"/>
      </w:rPr>
    </w:lvl>
    <w:lvl w:ilvl="2" w:tplc="D284AD6A" w:tentative="1">
      <w:start w:val="1"/>
      <w:numFmt w:val="bullet"/>
      <w:lvlText w:val=""/>
      <w:lvlJc w:val="left"/>
      <w:pPr>
        <w:ind w:left="2160" w:hanging="360"/>
      </w:pPr>
      <w:rPr>
        <w:rFonts w:ascii="Wingdings" w:hAnsi="Wingdings" w:hint="default"/>
      </w:rPr>
    </w:lvl>
    <w:lvl w:ilvl="3" w:tplc="59EE91D6" w:tentative="1">
      <w:start w:val="1"/>
      <w:numFmt w:val="bullet"/>
      <w:lvlText w:val=""/>
      <w:lvlJc w:val="left"/>
      <w:pPr>
        <w:ind w:left="2880" w:hanging="360"/>
      </w:pPr>
      <w:rPr>
        <w:rFonts w:ascii="Symbol" w:hAnsi="Symbol" w:hint="default"/>
      </w:rPr>
    </w:lvl>
    <w:lvl w:ilvl="4" w:tplc="3D765A92" w:tentative="1">
      <w:start w:val="1"/>
      <w:numFmt w:val="bullet"/>
      <w:lvlText w:val="o"/>
      <w:lvlJc w:val="left"/>
      <w:pPr>
        <w:ind w:left="3600" w:hanging="360"/>
      </w:pPr>
      <w:rPr>
        <w:rFonts w:ascii="Courier New" w:hAnsi="Courier New" w:cs="Courier New" w:hint="default"/>
      </w:rPr>
    </w:lvl>
    <w:lvl w:ilvl="5" w:tplc="207472E6" w:tentative="1">
      <w:start w:val="1"/>
      <w:numFmt w:val="bullet"/>
      <w:lvlText w:val=""/>
      <w:lvlJc w:val="left"/>
      <w:pPr>
        <w:ind w:left="4320" w:hanging="360"/>
      </w:pPr>
      <w:rPr>
        <w:rFonts w:ascii="Wingdings" w:hAnsi="Wingdings" w:hint="default"/>
      </w:rPr>
    </w:lvl>
    <w:lvl w:ilvl="6" w:tplc="4CF25A62" w:tentative="1">
      <w:start w:val="1"/>
      <w:numFmt w:val="bullet"/>
      <w:lvlText w:val=""/>
      <w:lvlJc w:val="left"/>
      <w:pPr>
        <w:ind w:left="5040" w:hanging="360"/>
      </w:pPr>
      <w:rPr>
        <w:rFonts w:ascii="Symbol" w:hAnsi="Symbol" w:hint="default"/>
      </w:rPr>
    </w:lvl>
    <w:lvl w:ilvl="7" w:tplc="DF7C593C" w:tentative="1">
      <w:start w:val="1"/>
      <w:numFmt w:val="bullet"/>
      <w:lvlText w:val="o"/>
      <w:lvlJc w:val="left"/>
      <w:pPr>
        <w:ind w:left="5760" w:hanging="360"/>
      </w:pPr>
      <w:rPr>
        <w:rFonts w:ascii="Courier New" w:hAnsi="Courier New" w:cs="Courier New" w:hint="default"/>
      </w:rPr>
    </w:lvl>
    <w:lvl w:ilvl="8" w:tplc="BBD69C4E" w:tentative="1">
      <w:start w:val="1"/>
      <w:numFmt w:val="bullet"/>
      <w:lvlText w:val=""/>
      <w:lvlJc w:val="left"/>
      <w:pPr>
        <w:ind w:left="6480" w:hanging="360"/>
      </w:pPr>
      <w:rPr>
        <w:rFonts w:ascii="Wingdings" w:hAnsi="Wingdings" w:hint="default"/>
      </w:rPr>
    </w:lvl>
  </w:abstractNum>
  <w:abstractNum w:abstractNumId="2" w15:restartNumberingAfterBreak="0">
    <w:nsid w:val="7AA153A8"/>
    <w:multiLevelType w:val="hybridMultilevel"/>
    <w:tmpl w:val="45064E86"/>
    <w:lvl w:ilvl="0" w:tplc="11123FD8">
      <w:start w:val="1"/>
      <w:numFmt w:val="bullet"/>
      <w:lvlText w:val=""/>
      <w:lvlJc w:val="left"/>
      <w:pPr>
        <w:tabs>
          <w:tab w:val="num" w:pos="720"/>
        </w:tabs>
        <w:ind w:left="720" w:hanging="360"/>
      </w:pPr>
      <w:rPr>
        <w:rFonts w:ascii="Symbol" w:hAnsi="Symbol" w:hint="default"/>
      </w:rPr>
    </w:lvl>
    <w:lvl w:ilvl="1" w:tplc="AF782B18">
      <w:start w:val="1"/>
      <w:numFmt w:val="bullet"/>
      <w:lvlText w:val="o"/>
      <w:lvlJc w:val="left"/>
      <w:pPr>
        <w:ind w:left="1440" w:hanging="360"/>
      </w:pPr>
      <w:rPr>
        <w:rFonts w:ascii="Courier New" w:hAnsi="Courier New" w:cs="Courier New" w:hint="default"/>
      </w:rPr>
    </w:lvl>
    <w:lvl w:ilvl="2" w:tplc="AD60BEAE">
      <w:start w:val="1"/>
      <w:numFmt w:val="bullet"/>
      <w:lvlText w:val=""/>
      <w:lvlJc w:val="left"/>
      <w:pPr>
        <w:ind w:left="2160" w:hanging="360"/>
      </w:pPr>
      <w:rPr>
        <w:rFonts w:ascii="Wingdings" w:hAnsi="Wingdings" w:hint="default"/>
      </w:rPr>
    </w:lvl>
    <w:lvl w:ilvl="3" w:tplc="8BF26678">
      <w:start w:val="1"/>
      <w:numFmt w:val="bullet"/>
      <w:lvlText w:val=""/>
      <w:lvlJc w:val="left"/>
      <w:pPr>
        <w:ind w:left="2880" w:hanging="360"/>
      </w:pPr>
      <w:rPr>
        <w:rFonts w:ascii="Symbol" w:hAnsi="Symbol" w:hint="default"/>
      </w:rPr>
    </w:lvl>
    <w:lvl w:ilvl="4" w:tplc="A56A4D22">
      <w:start w:val="1"/>
      <w:numFmt w:val="bullet"/>
      <w:lvlText w:val="o"/>
      <w:lvlJc w:val="left"/>
      <w:pPr>
        <w:ind w:left="3600" w:hanging="360"/>
      </w:pPr>
      <w:rPr>
        <w:rFonts w:ascii="Courier New" w:hAnsi="Courier New" w:cs="Courier New" w:hint="default"/>
      </w:rPr>
    </w:lvl>
    <w:lvl w:ilvl="5" w:tplc="94EC854C">
      <w:start w:val="1"/>
      <w:numFmt w:val="bullet"/>
      <w:lvlText w:val=""/>
      <w:lvlJc w:val="left"/>
      <w:pPr>
        <w:ind w:left="4320" w:hanging="360"/>
      </w:pPr>
      <w:rPr>
        <w:rFonts w:ascii="Wingdings" w:hAnsi="Wingdings" w:hint="default"/>
      </w:rPr>
    </w:lvl>
    <w:lvl w:ilvl="6" w:tplc="23E8FED0">
      <w:start w:val="1"/>
      <w:numFmt w:val="bullet"/>
      <w:lvlText w:val=""/>
      <w:lvlJc w:val="left"/>
      <w:pPr>
        <w:ind w:left="5040" w:hanging="360"/>
      </w:pPr>
      <w:rPr>
        <w:rFonts w:ascii="Symbol" w:hAnsi="Symbol" w:hint="default"/>
      </w:rPr>
    </w:lvl>
    <w:lvl w:ilvl="7" w:tplc="2CB68DB8">
      <w:start w:val="1"/>
      <w:numFmt w:val="bullet"/>
      <w:lvlText w:val="o"/>
      <w:lvlJc w:val="left"/>
      <w:pPr>
        <w:ind w:left="5760" w:hanging="360"/>
      </w:pPr>
      <w:rPr>
        <w:rFonts w:ascii="Courier New" w:hAnsi="Courier New" w:cs="Courier New" w:hint="default"/>
      </w:rPr>
    </w:lvl>
    <w:lvl w:ilvl="8" w:tplc="52D879B6">
      <w:start w:val="1"/>
      <w:numFmt w:val="bullet"/>
      <w:lvlText w:val=""/>
      <w:lvlJc w:val="left"/>
      <w:pPr>
        <w:ind w:left="6480" w:hanging="360"/>
      </w:pPr>
      <w:rPr>
        <w:rFonts w:ascii="Wingdings" w:hAnsi="Wingdings" w:hint="default"/>
      </w:rPr>
    </w:lvl>
  </w:abstractNum>
  <w:num w:numId="1" w16cid:durableId="639926045">
    <w:abstractNumId w:val="2"/>
  </w:num>
  <w:num w:numId="2" w16cid:durableId="773941454">
    <w:abstractNumId w:val="1"/>
  </w:num>
  <w:num w:numId="3" w16cid:durableId="70132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93"/>
    <w:rsid w:val="00000A70"/>
    <w:rsid w:val="000018CC"/>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A93"/>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514E"/>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511"/>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9C"/>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8BA"/>
    <w:rsid w:val="00347B4A"/>
    <w:rsid w:val="003500C3"/>
    <w:rsid w:val="003523BD"/>
    <w:rsid w:val="00352681"/>
    <w:rsid w:val="003536AA"/>
    <w:rsid w:val="003544CE"/>
    <w:rsid w:val="00355A98"/>
    <w:rsid w:val="00355D7E"/>
    <w:rsid w:val="003568DE"/>
    <w:rsid w:val="00357CA1"/>
    <w:rsid w:val="00360F84"/>
    <w:rsid w:val="00361FE9"/>
    <w:rsid w:val="003624F2"/>
    <w:rsid w:val="00363854"/>
    <w:rsid w:val="00364315"/>
    <w:rsid w:val="003643E2"/>
    <w:rsid w:val="00370155"/>
    <w:rsid w:val="003704E2"/>
    <w:rsid w:val="003712D5"/>
    <w:rsid w:val="00372F67"/>
    <w:rsid w:val="003747DF"/>
    <w:rsid w:val="00377E3D"/>
    <w:rsid w:val="003847E8"/>
    <w:rsid w:val="0038731D"/>
    <w:rsid w:val="00387B60"/>
    <w:rsid w:val="00390098"/>
    <w:rsid w:val="00392DA1"/>
    <w:rsid w:val="00393718"/>
    <w:rsid w:val="003A0296"/>
    <w:rsid w:val="003A10BC"/>
    <w:rsid w:val="003A50F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65C"/>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8E6"/>
    <w:rsid w:val="00505121"/>
    <w:rsid w:val="0050559C"/>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08A2"/>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FB9"/>
    <w:rsid w:val="005A6D13"/>
    <w:rsid w:val="005B031F"/>
    <w:rsid w:val="005B3298"/>
    <w:rsid w:val="005B3C13"/>
    <w:rsid w:val="005B5516"/>
    <w:rsid w:val="005B5D2B"/>
    <w:rsid w:val="005C1496"/>
    <w:rsid w:val="005C17C5"/>
    <w:rsid w:val="005C27AB"/>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242"/>
    <w:rsid w:val="006272DD"/>
    <w:rsid w:val="00630963"/>
    <w:rsid w:val="00631897"/>
    <w:rsid w:val="00632928"/>
    <w:rsid w:val="006330DA"/>
    <w:rsid w:val="00633262"/>
    <w:rsid w:val="00633460"/>
    <w:rsid w:val="006402E7"/>
    <w:rsid w:val="00640CB6"/>
    <w:rsid w:val="00641B42"/>
    <w:rsid w:val="00645750"/>
    <w:rsid w:val="00645C7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93D"/>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B49"/>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234"/>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8EF"/>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AC4"/>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3DC0"/>
    <w:rsid w:val="00976837"/>
    <w:rsid w:val="00980311"/>
    <w:rsid w:val="0098170E"/>
    <w:rsid w:val="0098285C"/>
    <w:rsid w:val="00983B56"/>
    <w:rsid w:val="009847FD"/>
    <w:rsid w:val="009851B3"/>
    <w:rsid w:val="00985300"/>
    <w:rsid w:val="00986720"/>
    <w:rsid w:val="00986F6D"/>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1C1C"/>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5FC4"/>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9D8"/>
    <w:rsid w:val="00AD304B"/>
    <w:rsid w:val="00AD4497"/>
    <w:rsid w:val="00AD7780"/>
    <w:rsid w:val="00AE2263"/>
    <w:rsid w:val="00AE248E"/>
    <w:rsid w:val="00AE2D12"/>
    <w:rsid w:val="00AE2F06"/>
    <w:rsid w:val="00AE4F1C"/>
    <w:rsid w:val="00AE4FEF"/>
    <w:rsid w:val="00AF1433"/>
    <w:rsid w:val="00AF48B4"/>
    <w:rsid w:val="00AF4923"/>
    <w:rsid w:val="00AF7C74"/>
    <w:rsid w:val="00B000AF"/>
    <w:rsid w:val="00B003BD"/>
    <w:rsid w:val="00B04E79"/>
    <w:rsid w:val="00B07488"/>
    <w:rsid w:val="00B075A2"/>
    <w:rsid w:val="00B10DD2"/>
    <w:rsid w:val="00B115DC"/>
    <w:rsid w:val="00B11952"/>
    <w:rsid w:val="00B149AC"/>
    <w:rsid w:val="00B14BD2"/>
    <w:rsid w:val="00B1557F"/>
    <w:rsid w:val="00B1668D"/>
    <w:rsid w:val="00B17981"/>
    <w:rsid w:val="00B20CAD"/>
    <w:rsid w:val="00B2317C"/>
    <w:rsid w:val="00B233BB"/>
    <w:rsid w:val="00B25612"/>
    <w:rsid w:val="00B26437"/>
    <w:rsid w:val="00B2678E"/>
    <w:rsid w:val="00B30647"/>
    <w:rsid w:val="00B31F0E"/>
    <w:rsid w:val="00B34F25"/>
    <w:rsid w:val="00B43672"/>
    <w:rsid w:val="00B436E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B3C"/>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C1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112"/>
    <w:rsid w:val="00C119AC"/>
    <w:rsid w:val="00C14EE6"/>
    <w:rsid w:val="00C151DA"/>
    <w:rsid w:val="00C152A1"/>
    <w:rsid w:val="00C15379"/>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691"/>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FD9"/>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D03"/>
    <w:rsid w:val="00DB2CEB"/>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6C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4E"/>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16B"/>
    <w:rsid w:val="00E55DA0"/>
    <w:rsid w:val="00E56033"/>
    <w:rsid w:val="00E566BA"/>
    <w:rsid w:val="00E61159"/>
    <w:rsid w:val="00E625DA"/>
    <w:rsid w:val="00E634DC"/>
    <w:rsid w:val="00E667F3"/>
    <w:rsid w:val="00E67794"/>
    <w:rsid w:val="00E70CC6"/>
    <w:rsid w:val="00E71254"/>
    <w:rsid w:val="00E73CCD"/>
    <w:rsid w:val="00E76453"/>
    <w:rsid w:val="00E77353"/>
    <w:rsid w:val="00E775AE"/>
    <w:rsid w:val="00E8272C"/>
    <w:rsid w:val="00E827C7"/>
    <w:rsid w:val="00E8529C"/>
    <w:rsid w:val="00E85DBD"/>
    <w:rsid w:val="00E87A99"/>
    <w:rsid w:val="00E90702"/>
    <w:rsid w:val="00E9241E"/>
    <w:rsid w:val="00E93DEF"/>
    <w:rsid w:val="00E947B1"/>
    <w:rsid w:val="00E96852"/>
    <w:rsid w:val="00EA16AC"/>
    <w:rsid w:val="00EA385A"/>
    <w:rsid w:val="00EA3931"/>
    <w:rsid w:val="00EA395F"/>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1EAA"/>
    <w:rsid w:val="00F36FE0"/>
    <w:rsid w:val="00F37EA8"/>
    <w:rsid w:val="00F40B14"/>
    <w:rsid w:val="00F41186"/>
    <w:rsid w:val="00F41EEF"/>
    <w:rsid w:val="00F41FAC"/>
    <w:rsid w:val="00F420C6"/>
    <w:rsid w:val="00F423D3"/>
    <w:rsid w:val="00F433B4"/>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4E01"/>
    <w:rsid w:val="00F96602"/>
    <w:rsid w:val="00F9735A"/>
    <w:rsid w:val="00FA32FC"/>
    <w:rsid w:val="00FA59FD"/>
    <w:rsid w:val="00FA5D8C"/>
    <w:rsid w:val="00FA6403"/>
    <w:rsid w:val="00FB16CD"/>
    <w:rsid w:val="00FB73AE"/>
    <w:rsid w:val="00FC5388"/>
    <w:rsid w:val="00FC726C"/>
    <w:rsid w:val="00FD1B4B"/>
    <w:rsid w:val="00FD1B94"/>
    <w:rsid w:val="00FD1DA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EABEDD-C491-46D6-AD19-B80F2961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CommentText">
    <w:name w:val="annotation text"/>
    <w:basedOn w:val="Normal"/>
    <w:link w:val="CommentTextChar"/>
    <w:unhideWhenUsed/>
    <w:rsid w:val="00036A93"/>
    <w:rPr>
      <w:sz w:val="20"/>
      <w:szCs w:val="20"/>
    </w:rPr>
  </w:style>
  <w:style w:type="character" w:customStyle="1" w:styleId="CommentTextChar">
    <w:name w:val="Comment Text Char"/>
    <w:basedOn w:val="DefaultParagraphFont"/>
    <w:link w:val="CommentText"/>
    <w:rsid w:val="00036A93"/>
  </w:style>
  <w:style w:type="character" w:styleId="CommentReference">
    <w:name w:val="annotation reference"/>
    <w:basedOn w:val="DefaultParagraphFont"/>
    <w:semiHidden/>
    <w:unhideWhenUsed/>
    <w:rsid w:val="00036A93"/>
    <w:rPr>
      <w:sz w:val="16"/>
      <w:szCs w:val="16"/>
    </w:rPr>
  </w:style>
  <w:style w:type="paragraph" w:styleId="CommentSubject">
    <w:name w:val="annotation subject"/>
    <w:basedOn w:val="CommentText"/>
    <w:next w:val="CommentText"/>
    <w:link w:val="CommentSubjectChar"/>
    <w:semiHidden/>
    <w:unhideWhenUsed/>
    <w:rsid w:val="00036A93"/>
    <w:rPr>
      <w:b/>
      <w:bCs/>
    </w:rPr>
  </w:style>
  <w:style w:type="character" w:customStyle="1" w:styleId="CommentSubjectChar">
    <w:name w:val="Comment Subject Char"/>
    <w:basedOn w:val="CommentTextChar"/>
    <w:link w:val="CommentSubject"/>
    <w:semiHidden/>
    <w:rsid w:val="00036A93"/>
    <w:rPr>
      <w:b/>
      <w:bCs/>
    </w:rPr>
  </w:style>
  <w:style w:type="paragraph" w:styleId="Revision">
    <w:name w:val="Revision"/>
    <w:hidden/>
    <w:uiPriority w:val="99"/>
    <w:semiHidden/>
    <w:rsid w:val="005A4F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5406</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BA - HB03556 (Committee Report (Substituted))</vt:lpstr>
    </vt:vector>
  </TitlesOfParts>
  <Company>State of Texas</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28037</dc:subject>
  <dc:creator>State of Texas</dc:creator>
  <dc:description>HB 3556 by Vasut-(H)Culture, Recreation &amp; Tourism</dc:description>
  <cp:lastModifiedBy>Thomas Weis</cp:lastModifiedBy>
  <cp:revision>2</cp:revision>
  <cp:lastPrinted>2003-11-26T17:21:00Z</cp:lastPrinted>
  <dcterms:created xsi:type="dcterms:W3CDTF">2025-05-02T13:10:00Z</dcterms:created>
  <dcterms:modified xsi:type="dcterms:W3CDTF">2025-05-02T13:10:00Z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25.121.2345</vt:lpwstr>
  </property>
</Properties>
</file>