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043A9" w14:paraId="631BFABC" w14:textId="77777777" w:rsidTr="00345119">
        <w:tc>
          <w:tcPr>
            <w:tcW w:w="9576" w:type="dxa"/>
            <w:noWrap/>
          </w:tcPr>
          <w:p w14:paraId="18B7ED6C" w14:textId="77777777" w:rsidR="008423E4" w:rsidRPr="0022177D" w:rsidRDefault="00E61F5B" w:rsidP="00567ACD">
            <w:pPr>
              <w:pStyle w:val="Heading1"/>
            </w:pPr>
            <w:r w:rsidRPr="00631897">
              <w:t>BILL ANALYSIS</w:t>
            </w:r>
          </w:p>
        </w:tc>
      </w:tr>
    </w:tbl>
    <w:p w14:paraId="436EE878" w14:textId="77777777" w:rsidR="008423E4" w:rsidRPr="0022177D" w:rsidRDefault="008423E4" w:rsidP="00567ACD">
      <w:pPr>
        <w:jc w:val="center"/>
      </w:pPr>
    </w:p>
    <w:p w14:paraId="10D92C32" w14:textId="77777777" w:rsidR="008423E4" w:rsidRPr="00B31F0E" w:rsidRDefault="008423E4" w:rsidP="00567ACD"/>
    <w:p w14:paraId="76814384" w14:textId="77777777" w:rsidR="008423E4" w:rsidRPr="00742794" w:rsidRDefault="008423E4" w:rsidP="00567AC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043A9" w14:paraId="49A03EDD" w14:textId="77777777" w:rsidTr="00345119">
        <w:tc>
          <w:tcPr>
            <w:tcW w:w="9576" w:type="dxa"/>
          </w:tcPr>
          <w:p w14:paraId="5808187C" w14:textId="2E9ECF81" w:rsidR="008423E4" w:rsidRPr="00861995" w:rsidRDefault="00E61F5B" w:rsidP="00567ACD">
            <w:pPr>
              <w:jc w:val="right"/>
            </w:pPr>
            <w:r>
              <w:t>H.B. 3830</w:t>
            </w:r>
          </w:p>
        </w:tc>
      </w:tr>
      <w:tr w:rsidR="00A043A9" w14:paraId="2BAA091E" w14:textId="77777777" w:rsidTr="00345119">
        <w:tc>
          <w:tcPr>
            <w:tcW w:w="9576" w:type="dxa"/>
          </w:tcPr>
          <w:p w14:paraId="23987AC1" w14:textId="12E435B8" w:rsidR="008423E4" w:rsidRPr="00861995" w:rsidRDefault="00E61F5B" w:rsidP="00567ACD">
            <w:pPr>
              <w:jc w:val="right"/>
            </w:pPr>
            <w:r>
              <w:t xml:space="preserve">By: </w:t>
            </w:r>
            <w:r w:rsidR="00DD68C2">
              <w:t>Curry</w:t>
            </w:r>
          </w:p>
        </w:tc>
      </w:tr>
      <w:tr w:rsidR="00A043A9" w14:paraId="0AA6991B" w14:textId="77777777" w:rsidTr="00345119">
        <w:tc>
          <w:tcPr>
            <w:tcW w:w="9576" w:type="dxa"/>
          </w:tcPr>
          <w:p w14:paraId="352C96EC" w14:textId="4EE22901" w:rsidR="008423E4" w:rsidRPr="00861995" w:rsidRDefault="00E61F5B" w:rsidP="00567ACD">
            <w:pPr>
              <w:jc w:val="right"/>
            </w:pPr>
            <w:r>
              <w:t>Ways &amp; Means</w:t>
            </w:r>
          </w:p>
        </w:tc>
      </w:tr>
      <w:tr w:rsidR="00A043A9" w14:paraId="6DEE75D6" w14:textId="77777777" w:rsidTr="00345119">
        <w:tc>
          <w:tcPr>
            <w:tcW w:w="9576" w:type="dxa"/>
          </w:tcPr>
          <w:p w14:paraId="344C4B38" w14:textId="05874CA7" w:rsidR="008423E4" w:rsidRDefault="00E61F5B" w:rsidP="00567ACD">
            <w:pPr>
              <w:jc w:val="right"/>
            </w:pPr>
            <w:r>
              <w:t>Committee Report (Unamended)</w:t>
            </w:r>
          </w:p>
        </w:tc>
      </w:tr>
    </w:tbl>
    <w:p w14:paraId="702B926B" w14:textId="77777777" w:rsidR="008423E4" w:rsidRDefault="008423E4" w:rsidP="00567ACD">
      <w:pPr>
        <w:tabs>
          <w:tab w:val="right" w:pos="9360"/>
        </w:tabs>
      </w:pPr>
    </w:p>
    <w:p w14:paraId="529D007E" w14:textId="77777777" w:rsidR="008423E4" w:rsidRDefault="008423E4" w:rsidP="00567ACD"/>
    <w:p w14:paraId="6C28B1B8" w14:textId="77777777" w:rsidR="008423E4" w:rsidRDefault="008423E4" w:rsidP="00567AC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043A9" w14:paraId="6AB39300" w14:textId="77777777" w:rsidTr="00345119">
        <w:tc>
          <w:tcPr>
            <w:tcW w:w="9576" w:type="dxa"/>
          </w:tcPr>
          <w:p w14:paraId="7036D8C7" w14:textId="77777777" w:rsidR="008423E4" w:rsidRPr="00A8133F" w:rsidRDefault="00E61F5B" w:rsidP="00567AC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3272ABB" w14:textId="77777777" w:rsidR="008423E4" w:rsidRDefault="008423E4" w:rsidP="00567ACD"/>
          <w:p w14:paraId="109EF2B9" w14:textId="1A184C88" w:rsidR="008423E4" w:rsidRDefault="00E61F5B" w:rsidP="00567A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 has informed the committee that</w:t>
            </w:r>
            <w:r w:rsidR="00435423" w:rsidRPr="00435423">
              <w:t xml:space="preserve"> </w:t>
            </w:r>
            <w:r>
              <w:t xml:space="preserve">major sole source impairment zones are areas where water resources are particularly </w:t>
            </w:r>
            <w:r>
              <w:t>vulnerable to contamination due to agricultural waste runoff</w:t>
            </w:r>
            <w:r w:rsidR="008C2C17">
              <w:t xml:space="preserve"> and</w:t>
            </w:r>
            <w:r>
              <w:t xml:space="preserve"> that these zones often contain concentrated animal feeding operations (CAFO</w:t>
            </w:r>
            <w:r w:rsidR="009200B4">
              <w:t>s</w:t>
            </w:r>
            <w:r>
              <w:t xml:space="preserve">) that </w:t>
            </w:r>
            <w:r w:rsidR="00F67D95">
              <w:t>involve housing</w:t>
            </w:r>
            <w:r>
              <w:t xml:space="preserve"> </w:t>
            </w:r>
            <w:r w:rsidR="00435423" w:rsidRPr="00435423">
              <w:t xml:space="preserve">large numbers of livestock in confined spaces, </w:t>
            </w:r>
            <w:r>
              <w:t xml:space="preserve">which can </w:t>
            </w:r>
            <w:r w:rsidR="00435423" w:rsidRPr="00435423">
              <w:t>generate significant agricultural waste that, if not managed properly, ca</w:t>
            </w:r>
            <w:r>
              <w:t>n</w:t>
            </w:r>
            <w:r w:rsidR="00435423" w:rsidRPr="00435423">
              <w:t xml:space="preserve"> pollute nearby water sources. </w:t>
            </w:r>
            <w:r>
              <w:t>H.B. 3830</w:t>
            </w:r>
            <w:r w:rsidR="00435423" w:rsidRPr="00435423">
              <w:t xml:space="preserve"> seeks to mitigate pollution</w:t>
            </w:r>
            <w:r>
              <w:t xml:space="preserve"> an</w:t>
            </w:r>
            <w:r w:rsidR="00F67D95">
              <w:t>d</w:t>
            </w:r>
            <w:r>
              <w:t xml:space="preserve"> contamination</w:t>
            </w:r>
            <w:r w:rsidR="00435423" w:rsidRPr="00435423">
              <w:t xml:space="preserve"> risks while </w:t>
            </w:r>
            <w:r w:rsidR="00F67D95">
              <w:t>incentivizing</w:t>
            </w:r>
            <w:r w:rsidR="00F67D95" w:rsidRPr="00435423">
              <w:t xml:space="preserve"> </w:t>
            </w:r>
            <w:r w:rsidR="00435423" w:rsidRPr="00435423">
              <w:t>CAFO</w:t>
            </w:r>
            <w:r w:rsidR="008625B2">
              <w:t xml:space="preserve"> operators </w:t>
            </w:r>
            <w:r w:rsidR="00435423" w:rsidRPr="00435423">
              <w:t>to manage waste in a more responsible manner</w:t>
            </w:r>
            <w:r>
              <w:t xml:space="preserve"> by offering a franchise tax credit</w:t>
            </w:r>
            <w:r w:rsidR="00435423" w:rsidRPr="00435423">
              <w:t xml:space="preserve"> to CAFO operators </w:t>
            </w:r>
            <w:r w:rsidR="00F67D95">
              <w:t>that</w:t>
            </w:r>
            <w:r w:rsidR="00F67D95" w:rsidRPr="00435423">
              <w:t xml:space="preserve"> </w:t>
            </w:r>
            <w:r w:rsidR="00435423" w:rsidRPr="00435423">
              <w:t>transport agricultural waste out of major sole source impairment zones</w:t>
            </w:r>
            <w:r w:rsidR="00F67D95">
              <w:t>.</w:t>
            </w:r>
            <w:r w:rsidR="00435423" w:rsidRPr="00435423">
              <w:t xml:space="preserve"> </w:t>
            </w:r>
          </w:p>
          <w:p w14:paraId="3CD24BD2" w14:textId="77777777" w:rsidR="008423E4" w:rsidRPr="00E26B13" w:rsidRDefault="008423E4" w:rsidP="00567ACD">
            <w:pPr>
              <w:rPr>
                <w:b/>
              </w:rPr>
            </w:pPr>
          </w:p>
        </w:tc>
      </w:tr>
      <w:tr w:rsidR="00A043A9" w14:paraId="1B981538" w14:textId="77777777" w:rsidTr="00345119">
        <w:tc>
          <w:tcPr>
            <w:tcW w:w="9576" w:type="dxa"/>
          </w:tcPr>
          <w:p w14:paraId="061B4D6E" w14:textId="77777777" w:rsidR="0017725B" w:rsidRDefault="00E61F5B" w:rsidP="00567A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076340D" w14:textId="77777777" w:rsidR="0017725B" w:rsidRDefault="0017725B" w:rsidP="00567ACD">
            <w:pPr>
              <w:rPr>
                <w:b/>
                <w:u w:val="single"/>
              </w:rPr>
            </w:pPr>
          </w:p>
          <w:p w14:paraId="7AD72007" w14:textId="29F4A87A" w:rsidR="005F0395" w:rsidRPr="005F0395" w:rsidRDefault="00E61F5B" w:rsidP="00567ACD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6EA719DD" w14:textId="77777777" w:rsidR="0017725B" w:rsidRPr="0017725B" w:rsidRDefault="0017725B" w:rsidP="00567ACD">
            <w:pPr>
              <w:rPr>
                <w:b/>
                <w:u w:val="single"/>
              </w:rPr>
            </w:pPr>
          </w:p>
        </w:tc>
      </w:tr>
      <w:tr w:rsidR="00A043A9" w14:paraId="3048ACE5" w14:textId="77777777" w:rsidTr="00345119">
        <w:tc>
          <w:tcPr>
            <w:tcW w:w="9576" w:type="dxa"/>
          </w:tcPr>
          <w:p w14:paraId="3472C868" w14:textId="77777777" w:rsidR="008423E4" w:rsidRPr="00A8133F" w:rsidRDefault="00E61F5B" w:rsidP="00567AC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27F0710" w14:textId="77777777" w:rsidR="008423E4" w:rsidRDefault="008423E4" w:rsidP="00567ACD"/>
          <w:p w14:paraId="1A073257" w14:textId="4085CA91" w:rsidR="005F0395" w:rsidRDefault="00E61F5B" w:rsidP="00567A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comptroller of public accounts in SECTION 1 of this bill.</w:t>
            </w:r>
          </w:p>
          <w:p w14:paraId="57E611E0" w14:textId="77777777" w:rsidR="008423E4" w:rsidRPr="00E21FDC" w:rsidRDefault="008423E4" w:rsidP="00567ACD">
            <w:pPr>
              <w:rPr>
                <w:b/>
              </w:rPr>
            </w:pPr>
          </w:p>
        </w:tc>
      </w:tr>
      <w:tr w:rsidR="00A043A9" w14:paraId="4941CFFE" w14:textId="77777777" w:rsidTr="00345119">
        <w:tc>
          <w:tcPr>
            <w:tcW w:w="9576" w:type="dxa"/>
          </w:tcPr>
          <w:p w14:paraId="6F1DA3F5" w14:textId="77777777" w:rsidR="008423E4" w:rsidRPr="00A8133F" w:rsidRDefault="00E61F5B" w:rsidP="00567AC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F27D4E1" w14:textId="77777777" w:rsidR="008423E4" w:rsidRDefault="008423E4" w:rsidP="00567ACD"/>
          <w:p w14:paraId="161EA4B7" w14:textId="40D85822" w:rsidR="009C36CD" w:rsidRDefault="00E61F5B" w:rsidP="00567A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3830 amends the Tax Code to make a taxable entity eligible for a franchise tax credit</w:t>
            </w:r>
            <w:r w:rsidR="002E320B">
              <w:t xml:space="preserve"> for certain watershed protection activities</w:t>
            </w:r>
            <w:r>
              <w:t xml:space="preserve"> </w:t>
            </w:r>
            <w:r w:rsidRPr="00286C05">
              <w:t>in the amount and under the conditions provided by</w:t>
            </w:r>
            <w:r>
              <w:t xml:space="preserve"> the bill. The bill establishes that a taxable entity qualifies for </w:t>
            </w:r>
            <w:r w:rsidR="005C6422">
              <w:t xml:space="preserve">such a </w:t>
            </w:r>
            <w:r>
              <w:t xml:space="preserve">credit if </w:t>
            </w:r>
            <w:r w:rsidRPr="00286C05">
              <w:t>during the period covered by a report the taxable entity</w:t>
            </w:r>
            <w:r w:rsidR="00755249">
              <w:t xml:space="preserve"> does the following</w:t>
            </w:r>
            <w:r w:rsidRPr="00286C05">
              <w:t>:</w:t>
            </w:r>
          </w:p>
          <w:p w14:paraId="665EB722" w14:textId="67DC4867" w:rsidR="00755249" w:rsidRDefault="00E61F5B" w:rsidP="00567AC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operates a concentrated animal feeding operation:</w:t>
            </w:r>
          </w:p>
          <w:p w14:paraId="74C0B725" w14:textId="46B9F534" w:rsidR="00755249" w:rsidRDefault="00E61F5B" w:rsidP="00567ACD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under a permit issued by </w:t>
            </w:r>
            <w:r w:rsidRPr="00755249">
              <w:t>the</w:t>
            </w:r>
            <w:r>
              <w:t xml:space="preserve"> </w:t>
            </w:r>
            <w:r w:rsidRPr="00755249">
              <w:t>Texas Commission</w:t>
            </w:r>
            <w:r>
              <w:t xml:space="preserve"> </w:t>
            </w:r>
            <w:r w:rsidR="00FD682F">
              <w:t xml:space="preserve">on Environmental Quality (TCEQ) </w:t>
            </w:r>
            <w:r>
              <w:t>under statutory provisions relating to the protection of certain watersheds; and</w:t>
            </w:r>
          </w:p>
          <w:p w14:paraId="2CF1997C" w14:textId="4A38A592" w:rsidR="00755249" w:rsidRDefault="00E61F5B" w:rsidP="00567AC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that is located in a major sole source impairment zone; and</w:t>
            </w:r>
          </w:p>
          <w:p w14:paraId="3E31AFF5" w14:textId="21B16847" w:rsidR="00566FEB" w:rsidRDefault="00E61F5B" w:rsidP="00567AC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transports agricultural waste outside of the major sole source impairment zone for disposal, use, or application to a waste management unit or waste application field located outside of the zone.</w:t>
            </w:r>
          </w:p>
          <w:p w14:paraId="32FD69A3" w14:textId="77777777" w:rsidR="00566FEB" w:rsidRDefault="00566FEB" w:rsidP="00567A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F1BE2A6" w14:textId="4DFEA1D9" w:rsidR="00755249" w:rsidRDefault="00E61F5B" w:rsidP="00567A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3830 establishes that the </w:t>
            </w:r>
            <w:r w:rsidRPr="00755249">
              <w:t>amount of</w:t>
            </w:r>
            <w:r w:rsidR="005C6422">
              <w:t xml:space="preserve"> the franchise tax</w:t>
            </w:r>
            <w:r w:rsidRPr="00755249">
              <w:t xml:space="preserve"> credit for a report is equal to the total costs of fuel, labor, and equipment used </w:t>
            </w:r>
            <w:r w:rsidR="00A71426">
              <w:t>to transport</w:t>
            </w:r>
            <w:r w:rsidRPr="00755249">
              <w:t xml:space="preserve"> waste</w:t>
            </w:r>
            <w:r w:rsidR="00A71426">
              <w:t xml:space="preserve"> as described by the bill's provisions</w:t>
            </w:r>
            <w:r w:rsidRPr="00755249">
              <w:t xml:space="preserve"> during the period covered by the report.</w:t>
            </w:r>
            <w:r w:rsidR="00B70DFA">
              <w:t xml:space="preserve"> The bill caps the total </w:t>
            </w:r>
            <w:r w:rsidR="00A71426">
              <w:t xml:space="preserve">amount of </w:t>
            </w:r>
            <w:r w:rsidR="00B70DFA">
              <w:t xml:space="preserve">credit for a report, </w:t>
            </w:r>
            <w:r w:rsidR="00B70DFA" w:rsidRPr="00B70DFA">
              <w:t>including the amount of any carryforward under</w:t>
            </w:r>
            <w:r w:rsidR="00B70DFA">
              <w:t xml:space="preserve"> the bill's provisions</w:t>
            </w:r>
            <w:r w:rsidR="00B70DFA" w:rsidRPr="00B70DFA">
              <w:t xml:space="preserve">, </w:t>
            </w:r>
            <w:r w:rsidR="00B70DFA">
              <w:t>at</w:t>
            </w:r>
            <w:r w:rsidR="00A71426">
              <w:t xml:space="preserve"> an amount not to exceed</w:t>
            </w:r>
            <w:r w:rsidR="00B70DFA">
              <w:t xml:space="preserve"> </w:t>
            </w:r>
            <w:r w:rsidR="00B70DFA" w:rsidRPr="00B70DFA">
              <w:t>50 percent of the franchise tax due for the report after all other applicable tax credits.</w:t>
            </w:r>
            <w:r w:rsidR="00B70DFA">
              <w:t xml:space="preserve"> The bill </w:t>
            </w:r>
            <w:r w:rsidR="00037E73">
              <w:t>authorizes a taxable entity that is eligible for a credit</w:t>
            </w:r>
            <w:r w:rsidR="00B70DFA">
              <w:t xml:space="preserve"> that </w:t>
            </w:r>
            <w:r w:rsidR="00B70DFA" w:rsidRPr="00B70DFA">
              <w:t>exceeds th</w:t>
            </w:r>
            <w:r w:rsidR="00B70DFA">
              <w:t xml:space="preserve">at </w:t>
            </w:r>
            <w:r w:rsidR="00037E73">
              <w:t xml:space="preserve">limitation </w:t>
            </w:r>
            <w:r w:rsidR="00B70DFA">
              <w:t xml:space="preserve">to </w:t>
            </w:r>
            <w:r w:rsidR="00B70DFA" w:rsidRPr="00B70DFA">
              <w:t>carry the unused credit forward for not more than 10 consecutive reports</w:t>
            </w:r>
            <w:r w:rsidR="00B70DFA">
              <w:t xml:space="preserve"> and establishes that credits, including carryforwards, are considered to be used in the following order:</w:t>
            </w:r>
          </w:p>
          <w:p w14:paraId="535DA692" w14:textId="6C509140" w:rsidR="00B70DFA" w:rsidRDefault="00E61F5B" w:rsidP="00567ACD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 credit carryforward under th</w:t>
            </w:r>
            <w:r w:rsidR="00D438A1">
              <w:t>e bill's provisions</w:t>
            </w:r>
            <w:r>
              <w:t>; and</w:t>
            </w:r>
          </w:p>
          <w:p w14:paraId="69EAED23" w14:textId="59058916" w:rsidR="00B70DFA" w:rsidRDefault="00E61F5B" w:rsidP="00567AC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 credit for the period on which the report is based.</w:t>
            </w:r>
          </w:p>
          <w:p w14:paraId="5158E519" w14:textId="77777777" w:rsidR="00037E73" w:rsidRDefault="00037E73" w:rsidP="00567ACD">
            <w:pPr>
              <w:pStyle w:val="Header"/>
              <w:tabs>
                <w:tab w:val="clear" w:pos="4320"/>
                <w:tab w:val="clear" w:pos="8640"/>
              </w:tabs>
              <w:ind w:left="720"/>
              <w:jc w:val="both"/>
            </w:pPr>
          </w:p>
          <w:p w14:paraId="489FF624" w14:textId="7576B8A5" w:rsidR="00566FEB" w:rsidRDefault="00E61F5B" w:rsidP="00567A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>
              <w:t>3830</w:t>
            </w:r>
            <w:r w:rsidR="000C0459">
              <w:t xml:space="preserve"> </w:t>
            </w:r>
            <w:r>
              <w:t>prohibits</w:t>
            </w:r>
            <w:r w:rsidR="000C0459">
              <w:t xml:space="preserve"> a </w:t>
            </w:r>
            <w:r w:rsidR="000C0459" w:rsidRPr="000C0459">
              <w:t xml:space="preserve">taxable entity </w:t>
            </w:r>
            <w:r>
              <w:t>from</w:t>
            </w:r>
            <w:r w:rsidRPr="000C0459">
              <w:t xml:space="preserve"> </w:t>
            </w:r>
            <w:r w:rsidR="000C0459" w:rsidRPr="000C0459">
              <w:t>convey</w:t>
            </w:r>
            <w:r>
              <w:t>ing</w:t>
            </w:r>
            <w:r w:rsidR="000C0459" w:rsidRPr="000C0459">
              <w:t>, assign</w:t>
            </w:r>
            <w:r>
              <w:t>ing</w:t>
            </w:r>
            <w:r w:rsidR="000C0459" w:rsidRPr="000C0459">
              <w:t>, or transfer</w:t>
            </w:r>
            <w:r>
              <w:t>ring</w:t>
            </w:r>
            <w:r w:rsidR="000C0459" w:rsidRPr="000C0459">
              <w:t xml:space="preserve"> the</w:t>
            </w:r>
            <w:r w:rsidR="000C0459">
              <w:t xml:space="preserve"> tax credit</w:t>
            </w:r>
            <w:r>
              <w:t xml:space="preserve"> allowed under the bill's provisions </w:t>
            </w:r>
            <w:r w:rsidR="000C0459" w:rsidRPr="000C0459">
              <w:t>to another entity</w:t>
            </w:r>
            <w:r>
              <w:t xml:space="preserve"> unless substantially all of the assets of the taxable entity are conveyed, assigned, or transferred in the same transaction.</w:t>
            </w:r>
            <w:r w:rsidR="005F0395">
              <w:t xml:space="preserve"> The bill requires a taxable entity to </w:t>
            </w:r>
            <w:r w:rsidR="005F0395" w:rsidRPr="005F0395">
              <w:t xml:space="preserve">apply </w:t>
            </w:r>
            <w:r>
              <w:t>for such a credit</w:t>
            </w:r>
            <w:r w:rsidR="005F0395" w:rsidRPr="005F0395">
              <w:t xml:space="preserve"> on or with the report for the period for which the credit is claimed and </w:t>
            </w:r>
            <w:r>
              <w:t xml:space="preserve">to </w:t>
            </w:r>
            <w:r w:rsidR="005F0395" w:rsidRPr="005F0395">
              <w:t xml:space="preserve">submit any information requested by the comptroller </w:t>
            </w:r>
            <w:r w:rsidR="005F0395">
              <w:t xml:space="preserve">of public accounts </w:t>
            </w:r>
            <w:r w:rsidR="005F0395" w:rsidRPr="005F0395">
              <w:t>to determine the entity's eligibility for the credit or the amount of the credit.</w:t>
            </w:r>
            <w:r w:rsidR="005F0395">
              <w:t xml:space="preserve"> </w:t>
            </w:r>
          </w:p>
          <w:p w14:paraId="09E03D40" w14:textId="77777777" w:rsidR="00566FEB" w:rsidRDefault="00566FEB" w:rsidP="00567A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1C15768" w14:textId="361708DE" w:rsidR="006018EA" w:rsidRDefault="00E61F5B" w:rsidP="00567A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3830</w:t>
            </w:r>
            <w:r w:rsidR="005F0395">
              <w:t xml:space="preserve"> requires the comptroller</w:t>
            </w:r>
            <w:r>
              <w:t xml:space="preserve"> </w:t>
            </w:r>
            <w:r w:rsidR="005F0395">
              <w:t xml:space="preserve">to </w:t>
            </w:r>
            <w:r>
              <w:t>do the following:</w:t>
            </w:r>
          </w:p>
          <w:p w14:paraId="54FC59A0" w14:textId="77777777" w:rsidR="006018EA" w:rsidRDefault="00E61F5B" w:rsidP="00567ACD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5F0395">
              <w:t>adopt rules and forms necessary to implement</w:t>
            </w:r>
            <w:r>
              <w:t xml:space="preserve"> the bill's provisions; </w:t>
            </w:r>
          </w:p>
          <w:p w14:paraId="0A0E07A5" w14:textId="5E28935A" w:rsidR="00B70DFA" w:rsidRDefault="00E61F5B" w:rsidP="00567ACD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6018EA">
              <w:t>submit to the legislature and the governor</w:t>
            </w:r>
            <w:r>
              <w:t xml:space="preserve">, </w:t>
            </w:r>
            <w:r w:rsidRPr="006018EA">
              <w:t>before the beginning of each regular session of the legislature</w:t>
            </w:r>
            <w:r>
              <w:t>,</w:t>
            </w:r>
            <w:r w:rsidRPr="006018EA">
              <w:t xml:space="preserve"> an estimate for the preceding fiscal biennium of:</w:t>
            </w:r>
          </w:p>
          <w:p w14:paraId="086BA9C6" w14:textId="69A55229" w:rsidR="006018EA" w:rsidRDefault="00E61F5B" w:rsidP="00567ACD">
            <w:pPr>
              <w:pStyle w:val="Header"/>
              <w:numPr>
                <w:ilvl w:val="1"/>
                <w:numId w:val="5"/>
              </w:numPr>
              <w:jc w:val="both"/>
            </w:pPr>
            <w:r>
              <w:t xml:space="preserve">the total number of taxable entities that applied for a credit </w:t>
            </w:r>
            <w:r w:rsidR="00566FEB">
              <w:t>under the bill's provisions</w:t>
            </w:r>
            <w:r>
              <w:t>;</w:t>
            </w:r>
          </w:p>
          <w:p w14:paraId="742F4CB5" w14:textId="75DA8F43" w:rsidR="006018EA" w:rsidRDefault="00E61F5B" w:rsidP="00567ACD">
            <w:pPr>
              <w:pStyle w:val="Header"/>
              <w:numPr>
                <w:ilvl w:val="1"/>
                <w:numId w:val="5"/>
              </w:numPr>
              <w:jc w:val="both"/>
            </w:pPr>
            <w:r>
              <w:t>the total amount of those credits received; and</w:t>
            </w:r>
          </w:p>
          <w:p w14:paraId="78EB5152" w14:textId="70918D0A" w:rsidR="00B82C59" w:rsidRDefault="00E61F5B" w:rsidP="00567ACD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the total amount of credits carried forward;</w:t>
            </w:r>
            <w:r w:rsidR="00566FEB">
              <w:t xml:space="preserve"> and</w:t>
            </w:r>
          </w:p>
          <w:p w14:paraId="374049D2" w14:textId="3CB73715" w:rsidR="00B82C59" w:rsidRDefault="00E61F5B" w:rsidP="00567AC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provide </w:t>
            </w:r>
            <w:r w:rsidRPr="00B82C59">
              <w:t xml:space="preserve">the </w:t>
            </w:r>
            <w:r>
              <w:t xml:space="preserve">required </w:t>
            </w:r>
            <w:r w:rsidRPr="00B82C59">
              <w:t xml:space="preserve">estimate as part of the </w:t>
            </w:r>
            <w:r w:rsidR="00E94A0F">
              <w:t>biennial report submitted by the comptroller to the legislature and the governor on the effect of certain tax provisions</w:t>
            </w:r>
            <w:r w:rsidRPr="00B82C59">
              <w:t>.</w:t>
            </w:r>
          </w:p>
          <w:p w14:paraId="03C86FE8" w14:textId="77777777" w:rsidR="00F67D95" w:rsidRDefault="00F67D95" w:rsidP="00567A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4A734A1" w14:textId="2A544145" w:rsidR="00F67D95" w:rsidRDefault="00E61F5B" w:rsidP="00567A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3830 defines the following terms: </w:t>
            </w:r>
          </w:p>
          <w:p w14:paraId="69919AF1" w14:textId="7EBD6127" w:rsidR="00F67D95" w:rsidRDefault="00E61F5B" w:rsidP="00567ACD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"agricultural waste" by reference to </w:t>
            </w:r>
            <w:r w:rsidR="00F574AA">
              <w:t xml:space="preserve">the meaning assigned by </w:t>
            </w:r>
            <w:r>
              <w:t xml:space="preserve">Water Code provisions relating to water quality control; </w:t>
            </w:r>
          </w:p>
          <w:p w14:paraId="64E775EF" w14:textId="385BF83D" w:rsidR="00682690" w:rsidRDefault="00E61F5B" w:rsidP="00567ACD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"concentrated animal feeding operation" by reference to</w:t>
            </w:r>
            <w:r w:rsidR="00AD0B8E">
              <w:t xml:space="preserve"> the meaning assigned by the</w:t>
            </w:r>
            <w:r>
              <w:t xml:space="preserve"> </w:t>
            </w:r>
            <w:r w:rsidR="00AD0B8E">
              <w:t>Texas Administrative Code rule regarding concentrated animal feeding operations o</w:t>
            </w:r>
            <w:r>
              <w:t>n the bill's effective date; and</w:t>
            </w:r>
          </w:p>
          <w:p w14:paraId="55969C8A" w14:textId="66967FB6" w:rsidR="00682690" w:rsidRDefault="00E61F5B" w:rsidP="00567ACD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"major sole source impairment zone" by reference to </w:t>
            </w:r>
            <w:r w:rsidR="00F574AA">
              <w:t xml:space="preserve">the meaning assigned by </w:t>
            </w:r>
            <w:r>
              <w:t>Water Code provisions</w:t>
            </w:r>
            <w:r w:rsidR="00F574AA">
              <w:t xml:space="preserve"> as they</w:t>
            </w:r>
            <w:r>
              <w:t xml:space="preserve"> relat</w:t>
            </w:r>
            <w:r w:rsidR="00F574AA">
              <w:t>e</w:t>
            </w:r>
            <w:r>
              <w:t xml:space="preserve"> to </w:t>
            </w:r>
            <w:r w:rsidR="004400FB">
              <w:t>the protection of certain watersheds</w:t>
            </w:r>
            <w:r w:rsidR="00AD0B8E">
              <w:t xml:space="preserve"> with respect to a feeding operation confining cattle that have been or may be used for dairy purposes, or otherwise associated with a dairy</w:t>
            </w:r>
            <w:r w:rsidR="00F574AA">
              <w:t>, defining such a zone as a watershed that contains, as follows, a reservoir:</w:t>
            </w:r>
          </w:p>
          <w:p w14:paraId="5A2BDD2E" w14:textId="77777777" w:rsidR="00BE417C" w:rsidRDefault="00E61F5B" w:rsidP="00567ACD">
            <w:pPr>
              <w:pStyle w:val="Header"/>
              <w:numPr>
                <w:ilvl w:val="1"/>
                <w:numId w:val="7"/>
              </w:numPr>
              <w:jc w:val="both"/>
            </w:pPr>
            <w:r>
              <w:t>that is used by a municipality as a sole source of drinking water supply for a population, inside and outside of its municipal boundaries, of more than 140,000; and</w:t>
            </w:r>
          </w:p>
          <w:p w14:paraId="73A240CB" w14:textId="551C55C4" w:rsidR="00BE417C" w:rsidRDefault="00E61F5B" w:rsidP="00567ACD">
            <w:pPr>
              <w:pStyle w:val="Header"/>
              <w:numPr>
                <w:ilvl w:val="1"/>
                <w:numId w:val="7"/>
              </w:numPr>
              <w:jc w:val="both"/>
            </w:pPr>
            <w:r>
              <w:t xml:space="preserve">at least half of the water flowing into which is from a source that, on the effective date of applicable state law, is on the list of impaired state waters adopted by the </w:t>
            </w:r>
            <w:r w:rsidR="00FD682F">
              <w:t>TCEQ</w:t>
            </w:r>
            <w:r>
              <w:t xml:space="preserve"> as required by </w:t>
            </w:r>
            <w:r w:rsidR="00FD682F">
              <w:t>federal law</w:t>
            </w:r>
            <w:r>
              <w:t>:</w:t>
            </w:r>
          </w:p>
          <w:p w14:paraId="3E720720" w14:textId="59A50178" w:rsidR="00BE417C" w:rsidRDefault="00E61F5B" w:rsidP="00567ACD">
            <w:pPr>
              <w:pStyle w:val="Header"/>
              <w:numPr>
                <w:ilvl w:val="2"/>
                <w:numId w:val="7"/>
              </w:numPr>
              <w:jc w:val="both"/>
            </w:pPr>
            <w:r>
              <w:t>at least in part because of concerns regarding pathogens and phosphorus; and</w:t>
            </w:r>
          </w:p>
          <w:p w14:paraId="355658D9" w14:textId="52D7A9E1" w:rsidR="00682690" w:rsidRDefault="00E61F5B" w:rsidP="00567ACD">
            <w:pPr>
              <w:pStyle w:val="Header"/>
              <w:numPr>
                <w:ilvl w:val="2"/>
                <w:numId w:val="7"/>
              </w:numPr>
              <w:jc w:val="both"/>
            </w:pPr>
            <w:r>
              <w:t xml:space="preserve">for which the </w:t>
            </w:r>
            <w:r w:rsidR="00FD682F">
              <w:t>TCEQ</w:t>
            </w:r>
            <w:r>
              <w:t>, at some time, has prepared and submitted a total maximum daily load standard.</w:t>
            </w:r>
          </w:p>
          <w:p w14:paraId="7C240492" w14:textId="77777777" w:rsidR="00E94A0F" w:rsidRDefault="00E94A0F" w:rsidP="00567A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A4D33F" w14:textId="4F6CEA6E" w:rsidR="00B82C59" w:rsidRDefault="00E61F5B" w:rsidP="00567A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3830 expire</w:t>
            </w:r>
            <w:r w:rsidR="00282E91">
              <w:t>s</w:t>
            </w:r>
            <w:r>
              <w:t xml:space="preserve"> </w:t>
            </w:r>
            <w:r w:rsidRPr="00B82C59">
              <w:t>December 31, 2035</w:t>
            </w:r>
            <w:r>
              <w:t xml:space="preserve">. This expiration expressly does not affect the carryforward of a credit </w:t>
            </w:r>
            <w:r w:rsidR="00282E91">
              <w:t xml:space="preserve">under the bill's provisions </w:t>
            </w:r>
            <w:r w:rsidRPr="00B82C59">
              <w:t>for which an entity applies after the date th</w:t>
            </w:r>
            <w:r>
              <w:t>e bill</w:t>
            </w:r>
            <w:r w:rsidR="00282E91">
              <w:t xml:space="preserve"> expires </w:t>
            </w:r>
            <w:r w:rsidRPr="00B82C59">
              <w:t>based on a cost for which a taxable entity became eligible for a credit before that date.</w:t>
            </w:r>
          </w:p>
          <w:p w14:paraId="64AF88EA" w14:textId="77777777" w:rsidR="00B82C59" w:rsidRDefault="00B82C59" w:rsidP="00567A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A95C670" w14:textId="499FA6AA" w:rsidR="00B82C59" w:rsidRPr="009C36CD" w:rsidRDefault="00E61F5B" w:rsidP="00567A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63059C">
              <w:t xml:space="preserve">3830 applies </w:t>
            </w:r>
            <w:r w:rsidR="0063059C" w:rsidRPr="0063059C">
              <w:t xml:space="preserve">only to a report originally due on or after the </w:t>
            </w:r>
            <w:r w:rsidR="0063059C">
              <w:t xml:space="preserve">bill's </w:t>
            </w:r>
            <w:r w:rsidR="0063059C" w:rsidRPr="0063059C">
              <w:t>effective date.</w:t>
            </w:r>
          </w:p>
          <w:p w14:paraId="30A1C651" w14:textId="77777777" w:rsidR="008423E4" w:rsidRPr="00835628" w:rsidRDefault="008423E4" w:rsidP="00567ACD">
            <w:pPr>
              <w:rPr>
                <w:b/>
              </w:rPr>
            </w:pPr>
          </w:p>
        </w:tc>
      </w:tr>
      <w:tr w:rsidR="00A043A9" w14:paraId="413FFAE7" w14:textId="77777777" w:rsidTr="00345119">
        <w:tc>
          <w:tcPr>
            <w:tcW w:w="9576" w:type="dxa"/>
          </w:tcPr>
          <w:p w14:paraId="7CD51072" w14:textId="77777777" w:rsidR="008423E4" w:rsidRPr="00A8133F" w:rsidRDefault="00E61F5B" w:rsidP="00567AC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4E4E911" w14:textId="77777777" w:rsidR="008423E4" w:rsidRDefault="008423E4" w:rsidP="00567ACD"/>
          <w:p w14:paraId="2CCDEA33" w14:textId="52770E18" w:rsidR="008423E4" w:rsidRPr="003624F2" w:rsidRDefault="00E61F5B" w:rsidP="00567A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2026.</w:t>
            </w:r>
          </w:p>
          <w:p w14:paraId="729E62C4" w14:textId="77777777" w:rsidR="008423E4" w:rsidRPr="00233FDB" w:rsidRDefault="008423E4" w:rsidP="00567ACD">
            <w:pPr>
              <w:rPr>
                <w:b/>
              </w:rPr>
            </w:pPr>
          </w:p>
        </w:tc>
      </w:tr>
    </w:tbl>
    <w:p w14:paraId="4E8959F1" w14:textId="77777777" w:rsidR="008423E4" w:rsidRPr="00BE0E75" w:rsidRDefault="008423E4" w:rsidP="00567ACD">
      <w:pPr>
        <w:jc w:val="both"/>
        <w:rPr>
          <w:rFonts w:ascii="Arial" w:hAnsi="Arial"/>
          <w:sz w:val="16"/>
          <w:szCs w:val="16"/>
        </w:rPr>
      </w:pPr>
    </w:p>
    <w:p w14:paraId="064C4D38" w14:textId="77777777" w:rsidR="004108C3" w:rsidRPr="008423E4" w:rsidRDefault="004108C3" w:rsidP="00567AC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C990" w14:textId="77777777" w:rsidR="00E61F5B" w:rsidRDefault="00E61F5B">
      <w:r>
        <w:separator/>
      </w:r>
    </w:p>
  </w:endnote>
  <w:endnote w:type="continuationSeparator" w:id="0">
    <w:p w14:paraId="7CF0B817" w14:textId="77777777" w:rsidR="00E61F5B" w:rsidRDefault="00E6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ACF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043A9" w14:paraId="3AF6641B" w14:textId="77777777" w:rsidTr="009C1E9A">
      <w:trPr>
        <w:cantSplit/>
      </w:trPr>
      <w:tc>
        <w:tcPr>
          <w:tcW w:w="0" w:type="pct"/>
        </w:tcPr>
        <w:p w14:paraId="7032F9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A156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7532E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2EA7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5D517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43A9" w14:paraId="1297FFA0" w14:textId="77777777" w:rsidTr="009C1E9A">
      <w:trPr>
        <w:cantSplit/>
      </w:trPr>
      <w:tc>
        <w:tcPr>
          <w:tcW w:w="0" w:type="pct"/>
        </w:tcPr>
        <w:p w14:paraId="196B236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39AD63" w14:textId="2FF5574A" w:rsidR="00EC379B" w:rsidRPr="009C1E9A" w:rsidRDefault="00E61F5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29502-D</w:t>
          </w:r>
        </w:p>
      </w:tc>
      <w:tc>
        <w:tcPr>
          <w:tcW w:w="2453" w:type="pct"/>
        </w:tcPr>
        <w:p w14:paraId="45BD84AF" w14:textId="47A5DFC1" w:rsidR="00EC379B" w:rsidRDefault="00E61F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D5A65">
            <w:t>25.130.269</w:t>
          </w:r>
          <w:r>
            <w:fldChar w:fldCharType="end"/>
          </w:r>
        </w:p>
      </w:tc>
    </w:tr>
    <w:tr w:rsidR="00A043A9" w14:paraId="3256C5A1" w14:textId="77777777" w:rsidTr="009C1E9A">
      <w:trPr>
        <w:cantSplit/>
      </w:trPr>
      <w:tc>
        <w:tcPr>
          <w:tcW w:w="0" w:type="pct"/>
        </w:tcPr>
        <w:p w14:paraId="6C364CA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A269C7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64D9BA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5963C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43A9" w14:paraId="390C9D6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5E88BA1" w14:textId="77777777" w:rsidR="00EC379B" w:rsidRDefault="00E61F5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54166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3FED50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3AF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3D47" w14:textId="77777777" w:rsidR="00E61F5B" w:rsidRDefault="00E61F5B">
      <w:r>
        <w:separator/>
      </w:r>
    </w:p>
  </w:footnote>
  <w:footnote w:type="continuationSeparator" w:id="0">
    <w:p w14:paraId="1F090B2E" w14:textId="77777777" w:rsidR="00E61F5B" w:rsidRDefault="00E6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C8F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D1D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AD6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445"/>
    <w:multiLevelType w:val="hybridMultilevel"/>
    <w:tmpl w:val="95520BF2"/>
    <w:lvl w:ilvl="0" w:tplc="818C6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27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4E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8B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84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541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43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89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30A56"/>
    <w:multiLevelType w:val="hybridMultilevel"/>
    <w:tmpl w:val="5F10626E"/>
    <w:lvl w:ilvl="0" w:tplc="F5740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42B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981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0C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42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8D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84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62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8F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D29F5"/>
    <w:multiLevelType w:val="hybridMultilevel"/>
    <w:tmpl w:val="C6EA9A98"/>
    <w:lvl w:ilvl="0" w:tplc="EF38D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8C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C6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A4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66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00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F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167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2662"/>
    <w:multiLevelType w:val="hybridMultilevel"/>
    <w:tmpl w:val="90E4E0F6"/>
    <w:lvl w:ilvl="0" w:tplc="0F3CF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CC3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44B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0E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A2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225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A4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A2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0F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D25C2"/>
    <w:multiLevelType w:val="hybridMultilevel"/>
    <w:tmpl w:val="84705566"/>
    <w:lvl w:ilvl="0" w:tplc="4A423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6C4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C4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C0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4F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41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EB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72D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D6ADC"/>
    <w:multiLevelType w:val="hybridMultilevel"/>
    <w:tmpl w:val="79064E4A"/>
    <w:lvl w:ilvl="0" w:tplc="B030D658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7758E302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4FC81D80" w:tentative="1">
      <w:start w:val="1"/>
      <w:numFmt w:val="lowerRoman"/>
      <w:lvlText w:val="%3."/>
      <w:lvlJc w:val="right"/>
      <w:pPr>
        <w:ind w:left="2160" w:hanging="180"/>
      </w:pPr>
    </w:lvl>
    <w:lvl w:ilvl="3" w:tplc="39DAF338" w:tentative="1">
      <w:start w:val="1"/>
      <w:numFmt w:val="decimal"/>
      <w:lvlText w:val="%4."/>
      <w:lvlJc w:val="left"/>
      <w:pPr>
        <w:ind w:left="2880" w:hanging="360"/>
      </w:pPr>
    </w:lvl>
    <w:lvl w:ilvl="4" w:tplc="4F642A92" w:tentative="1">
      <w:start w:val="1"/>
      <w:numFmt w:val="lowerLetter"/>
      <w:lvlText w:val="%5."/>
      <w:lvlJc w:val="left"/>
      <w:pPr>
        <w:ind w:left="3600" w:hanging="360"/>
      </w:pPr>
    </w:lvl>
    <w:lvl w:ilvl="5" w:tplc="7F86C922" w:tentative="1">
      <w:start w:val="1"/>
      <w:numFmt w:val="lowerRoman"/>
      <w:lvlText w:val="%6."/>
      <w:lvlJc w:val="right"/>
      <w:pPr>
        <w:ind w:left="4320" w:hanging="180"/>
      </w:pPr>
    </w:lvl>
    <w:lvl w:ilvl="6" w:tplc="9606FE2A" w:tentative="1">
      <w:start w:val="1"/>
      <w:numFmt w:val="decimal"/>
      <w:lvlText w:val="%7."/>
      <w:lvlJc w:val="left"/>
      <w:pPr>
        <w:ind w:left="5040" w:hanging="360"/>
      </w:pPr>
    </w:lvl>
    <w:lvl w:ilvl="7" w:tplc="16BEF810" w:tentative="1">
      <w:start w:val="1"/>
      <w:numFmt w:val="lowerLetter"/>
      <w:lvlText w:val="%8."/>
      <w:lvlJc w:val="left"/>
      <w:pPr>
        <w:ind w:left="5760" w:hanging="360"/>
      </w:pPr>
    </w:lvl>
    <w:lvl w:ilvl="8" w:tplc="376C7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A3AB2"/>
    <w:multiLevelType w:val="hybridMultilevel"/>
    <w:tmpl w:val="899C8E54"/>
    <w:lvl w:ilvl="0" w:tplc="62C4514C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3BCEC620" w:tentative="1">
      <w:start w:val="1"/>
      <w:numFmt w:val="lowerLetter"/>
      <w:lvlText w:val="%2."/>
      <w:lvlJc w:val="left"/>
      <w:pPr>
        <w:ind w:left="1440" w:hanging="360"/>
      </w:pPr>
    </w:lvl>
    <w:lvl w:ilvl="2" w:tplc="46C69E74" w:tentative="1">
      <w:start w:val="1"/>
      <w:numFmt w:val="lowerRoman"/>
      <w:lvlText w:val="%3."/>
      <w:lvlJc w:val="right"/>
      <w:pPr>
        <w:ind w:left="2160" w:hanging="180"/>
      </w:pPr>
    </w:lvl>
    <w:lvl w:ilvl="3" w:tplc="6C3CD744" w:tentative="1">
      <w:start w:val="1"/>
      <w:numFmt w:val="decimal"/>
      <w:lvlText w:val="%4."/>
      <w:lvlJc w:val="left"/>
      <w:pPr>
        <w:ind w:left="2880" w:hanging="360"/>
      </w:pPr>
    </w:lvl>
    <w:lvl w:ilvl="4" w:tplc="EB3E33C6" w:tentative="1">
      <w:start w:val="1"/>
      <w:numFmt w:val="lowerLetter"/>
      <w:lvlText w:val="%5."/>
      <w:lvlJc w:val="left"/>
      <w:pPr>
        <w:ind w:left="3600" w:hanging="360"/>
      </w:pPr>
    </w:lvl>
    <w:lvl w:ilvl="5" w:tplc="A75E6B7E" w:tentative="1">
      <w:start w:val="1"/>
      <w:numFmt w:val="lowerRoman"/>
      <w:lvlText w:val="%6."/>
      <w:lvlJc w:val="right"/>
      <w:pPr>
        <w:ind w:left="4320" w:hanging="180"/>
      </w:pPr>
    </w:lvl>
    <w:lvl w:ilvl="6" w:tplc="32D0A312" w:tentative="1">
      <w:start w:val="1"/>
      <w:numFmt w:val="decimal"/>
      <w:lvlText w:val="%7."/>
      <w:lvlJc w:val="left"/>
      <w:pPr>
        <w:ind w:left="5040" w:hanging="360"/>
      </w:pPr>
    </w:lvl>
    <w:lvl w:ilvl="7" w:tplc="92BA5E58" w:tentative="1">
      <w:start w:val="1"/>
      <w:numFmt w:val="lowerLetter"/>
      <w:lvlText w:val="%8."/>
      <w:lvlJc w:val="left"/>
      <w:pPr>
        <w:ind w:left="5760" w:hanging="360"/>
      </w:pPr>
    </w:lvl>
    <w:lvl w:ilvl="8" w:tplc="B77CABE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11724">
    <w:abstractNumId w:val="4"/>
  </w:num>
  <w:num w:numId="2" w16cid:durableId="1613518179">
    <w:abstractNumId w:val="5"/>
  </w:num>
  <w:num w:numId="3" w16cid:durableId="535506813">
    <w:abstractNumId w:val="1"/>
  </w:num>
  <w:num w:numId="4" w16cid:durableId="1220438720">
    <w:abstractNumId w:val="6"/>
  </w:num>
  <w:num w:numId="5" w16cid:durableId="118644604">
    <w:abstractNumId w:val="2"/>
  </w:num>
  <w:num w:numId="6" w16cid:durableId="1535731166">
    <w:abstractNumId w:val="0"/>
  </w:num>
  <w:num w:numId="7" w16cid:durableId="142529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0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E73"/>
    <w:rsid w:val="000400D5"/>
    <w:rsid w:val="00041D82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2E57"/>
    <w:rsid w:val="00064420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459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72E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371"/>
    <w:rsid w:val="00277434"/>
    <w:rsid w:val="00280123"/>
    <w:rsid w:val="00281343"/>
    <w:rsid w:val="00281883"/>
    <w:rsid w:val="00282E91"/>
    <w:rsid w:val="00286C05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20B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598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EF9"/>
    <w:rsid w:val="003D5A65"/>
    <w:rsid w:val="003D726D"/>
    <w:rsid w:val="003E0875"/>
    <w:rsid w:val="003E0BB8"/>
    <w:rsid w:val="003E6CB0"/>
    <w:rsid w:val="003E75BD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423"/>
    <w:rsid w:val="00436980"/>
    <w:rsid w:val="00437B71"/>
    <w:rsid w:val="004400FB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66F"/>
    <w:rsid w:val="00474927"/>
    <w:rsid w:val="00475913"/>
    <w:rsid w:val="00480080"/>
    <w:rsid w:val="004824A7"/>
    <w:rsid w:val="00483AF0"/>
    <w:rsid w:val="00484167"/>
    <w:rsid w:val="00487FC0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04BC"/>
    <w:rsid w:val="005336BD"/>
    <w:rsid w:val="00534A49"/>
    <w:rsid w:val="005363BB"/>
    <w:rsid w:val="00541B98"/>
    <w:rsid w:val="00543374"/>
    <w:rsid w:val="00545548"/>
    <w:rsid w:val="005455B6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6FEB"/>
    <w:rsid w:val="00567ACD"/>
    <w:rsid w:val="00573401"/>
    <w:rsid w:val="00576714"/>
    <w:rsid w:val="0057685A"/>
    <w:rsid w:val="00577DF6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422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395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8E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59C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690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1F2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5C41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249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3F9"/>
    <w:rsid w:val="0080765F"/>
    <w:rsid w:val="00812BE3"/>
    <w:rsid w:val="00814516"/>
    <w:rsid w:val="00815C9D"/>
    <w:rsid w:val="008170E2"/>
    <w:rsid w:val="00821D17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5B2"/>
    <w:rsid w:val="0086477C"/>
    <w:rsid w:val="00864BAD"/>
    <w:rsid w:val="00866F9D"/>
    <w:rsid w:val="008673D9"/>
    <w:rsid w:val="00871775"/>
    <w:rsid w:val="00871AEF"/>
    <w:rsid w:val="008726E0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166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C17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8F5"/>
    <w:rsid w:val="00917E0C"/>
    <w:rsid w:val="009200B4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2C2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83C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3A9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176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426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D5C"/>
    <w:rsid w:val="00AB474B"/>
    <w:rsid w:val="00AB5CCC"/>
    <w:rsid w:val="00AB74E2"/>
    <w:rsid w:val="00AC2E9A"/>
    <w:rsid w:val="00AC5AAB"/>
    <w:rsid w:val="00AC5AEC"/>
    <w:rsid w:val="00AC5F28"/>
    <w:rsid w:val="00AC6900"/>
    <w:rsid w:val="00AD0B8E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37F5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DFA"/>
    <w:rsid w:val="00B73BB4"/>
    <w:rsid w:val="00B80532"/>
    <w:rsid w:val="00B82039"/>
    <w:rsid w:val="00B82454"/>
    <w:rsid w:val="00B82C59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655"/>
    <w:rsid w:val="00BD0A32"/>
    <w:rsid w:val="00BD4E55"/>
    <w:rsid w:val="00BD513B"/>
    <w:rsid w:val="00BD5E52"/>
    <w:rsid w:val="00BE00CD"/>
    <w:rsid w:val="00BE0E75"/>
    <w:rsid w:val="00BE0EB7"/>
    <w:rsid w:val="00BE1789"/>
    <w:rsid w:val="00BE3634"/>
    <w:rsid w:val="00BE3E30"/>
    <w:rsid w:val="00BE417C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562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8A1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68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8C2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F5B"/>
    <w:rsid w:val="00E625DA"/>
    <w:rsid w:val="00E634DC"/>
    <w:rsid w:val="00E667F3"/>
    <w:rsid w:val="00E67223"/>
    <w:rsid w:val="00E67794"/>
    <w:rsid w:val="00E70CC6"/>
    <w:rsid w:val="00E71254"/>
    <w:rsid w:val="00E73CCD"/>
    <w:rsid w:val="00E75C0A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4A0F"/>
    <w:rsid w:val="00E96852"/>
    <w:rsid w:val="00EA16AC"/>
    <w:rsid w:val="00EA385A"/>
    <w:rsid w:val="00EA3931"/>
    <w:rsid w:val="00EA3F02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CE6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4AA"/>
    <w:rsid w:val="00F6514B"/>
    <w:rsid w:val="00F6533E"/>
    <w:rsid w:val="00F6587F"/>
    <w:rsid w:val="00F67981"/>
    <w:rsid w:val="00F67D95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82F"/>
    <w:rsid w:val="00FD7903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6B678A-9750-4029-813A-F046D0C6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A21F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21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21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2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21F2"/>
    <w:rPr>
      <w:b/>
      <w:bCs/>
    </w:rPr>
  </w:style>
  <w:style w:type="paragraph" w:styleId="Revision">
    <w:name w:val="Revision"/>
    <w:hidden/>
    <w:uiPriority w:val="99"/>
    <w:semiHidden/>
    <w:rsid w:val="00E75C0A"/>
    <w:rPr>
      <w:sz w:val="24"/>
      <w:szCs w:val="24"/>
    </w:rPr>
  </w:style>
  <w:style w:type="character" w:styleId="Hyperlink">
    <w:name w:val="Hyperlink"/>
    <w:basedOn w:val="DefaultParagraphFont"/>
    <w:unhideWhenUsed/>
    <w:rsid w:val="006826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4936</Characters>
  <Application>Microsoft Office Word</Application>
  <DocSecurity>0</DocSecurity>
  <Lines>111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HB03830 (Committee Report (Unamended))</vt:lpstr>
    </vt:vector>
  </TitlesOfParts>
  <Company>State of Texas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29502</dc:subject>
  <dc:creator>State of Texas</dc:creator>
  <dc:description>HB 3830 by Curry-(H)Ways &amp; Means</dc:description>
  <cp:lastModifiedBy>Damian Duarte</cp:lastModifiedBy>
  <cp:revision>2</cp:revision>
  <cp:lastPrinted>2003-11-26T17:21:00Z</cp:lastPrinted>
  <dcterms:created xsi:type="dcterms:W3CDTF">2025-05-10T20:35:00Z</dcterms:created>
  <dcterms:modified xsi:type="dcterms:W3CDTF">2025-05-10T20:35:00Z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25.130.269</vt:lpwstr>
  </property>
</Properties>
</file>