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95A6B" w14:paraId="25585F67" w14:textId="77777777" w:rsidTr="00345119">
        <w:tc>
          <w:tcPr>
            <w:tcW w:w="9576" w:type="dxa"/>
            <w:noWrap/>
          </w:tcPr>
          <w:p w14:paraId="5F99AB95" w14:textId="77777777" w:rsidR="008423E4" w:rsidRPr="0022177D" w:rsidRDefault="00E76853" w:rsidP="007F3EE7">
            <w:pPr>
              <w:pStyle w:val="Heading1"/>
            </w:pPr>
            <w:r w:rsidRPr="00631897">
              <w:t>BILL ANALYSIS</w:t>
            </w:r>
          </w:p>
        </w:tc>
      </w:tr>
    </w:tbl>
    <w:p w14:paraId="4A50B7F3" w14:textId="77777777" w:rsidR="008423E4" w:rsidRPr="0022177D" w:rsidRDefault="008423E4" w:rsidP="007F3EE7">
      <w:pPr>
        <w:jc w:val="center"/>
      </w:pPr>
    </w:p>
    <w:p w14:paraId="15ADD4B3" w14:textId="77777777" w:rsidR="008423E4" w:rsidRPr="00B31F0E" w:rsidRDefault="008423E4" w:rsidP="007F3EE7"/>
    <w:p w14:paraId="48C58E53" w14:textId="77777777" w:rsidR="008423E4" w:rsidRPr="00742794" w:rsidRDefault="008423E4" w:rsidP="007F3EE7">
      <w:pPr>
        <w:tabs>
          <w:tab w:val="right" w:pos="9360"/>
        </w:tabs>
      </w:pPr>
    </w:p>
    <w:tbl>
      <w:tblPr>
        <w:tblW w:w="0" w:type="auto"/>
        <w:tblLayout w:type="fixed"/>
        <w:tblLook w:val="01E0" w:firstRow="1" w:lastRow="1" w:firstColumn="1" w:lastColumn="1" w:noHBand="0" w:noVBand="0"/>
      </w:tblPr>
      <w:tblGrid>
        <w:gridCol w:w="9576"/>
      </w:tblGrid>
      <w:tr w:rsidR="00095A6B" w14:paraId="2375A196" w14:textId="77777777" w:rsidTr="00345119">
        <w:tc>
          <w:tcPr>
            <w:tcW w:w="9576" w:type="dxa"/>
          </w:tcPr>
          <w:p w14:paraId="5DF1E1F0" w14:textId="4573BAAA" w:rsidR="008423E4" w:rsidRPr="00861995" w:rsidRDefault="00E76853" w:rsidP="007F3EE7">
            <w:pPr>
              <w:jc w:val="right"/>
            </w:pPr>
            <w:r>
              <w:t>H.B. 4211</w:t>
            </w:r>
          </w:p>
        </w:tc>
      </w:tr>
      <w:tr w:rsidR="00095A6B" w14:paraId="7EFF30D4" w14:textId="77777777" w:rsidTr="00345119">
        <w:tc>
          <w:tcPr>
            <w:tcW w:w="9576" w:type="dxa"/>
          </w:tcPr>
          <w:p w14:paraId="72C4B275" w14:textId="217BD49B" w:rsidR="008423E4" w:rsidRPr="00861995" w:rsidRDefault="00E76853" w:rsidP="007F3EE7">
            <w:pPr>
              <w:jc w:val="right"/>
            </w:pPr>
            <w:r>
              <w:t xml:space="preserve">By: </w:t>
            </w:r>
            <w:r w:rsidR="005076AE">
              <w:t>Noble</w:t>
            </w:r>
          </w:p>
        </w:tc>
      </w:tr>
      <w:tr w:rsidR="00095A6B" w14:paraId="0DD3668A" w14:textId="77777777" w:rsidTr="00345119">
        <w:tc>
          <w:tcPr>
            <w:tcW w:w="9576" w:type="dxa"/>
          </w:tcPr>
          <w:p w14:paraId="1F013ED0" w14:textId="0DEE0D3E" w:rsidR="008423E4" w:rsidRPr="00861995" w:rsidRDefault="00E76853" w:rsidP="007F3EE7">
            <w:pPr>
              <w:jc w:val="right"/>
            </w:pPr>
            <w:r>
              <w:t>State Affairs</w:t>
            </w:r>
          </w:p>
        </w:tc>
      </w:tr>
      <w:tr w:rsidR="00095A6B" w14:paraId="745D8989" w14:textId="77777777" w:rsidTr="00345119">
        <w:tc>
          <w:tcPr>
            <w:tcW w:w="9576" w:type="dxa"/>
          </w:tcPr>
          <w:p w14:paraId="02117FB9" w14:textId="49396F50" w:rsidR="008423E4" w:rsidRDefault="00E76853" w:rsidP="007F3EE7">
            <w:pPr>
              <w:jc w:val="right"/>
            </w:pPr>
            <w:r>
              <w:t>Committee Report (Unamended)</w:t>
            </w:r>
          </w:p>
        </w:tc>
      </w:tr>
    </w:tbl>
    <w:p w14:paraId="437248DA" w14:textId="77777777" w:rsidR="008423E4" w:rsidRDefault="008423E4" w:rsidP="007F3EE7">
      <w:pPr>
        <w:tabs>
          <w:tab w:val="right" w:pos="9360"/>
        </w:tabs>
      </w:pPr>
    </w:p>
    <w:p w14:paraId="1261BC53" w14:textId="77777777" w:rsidR="008423E4" w:rsidRDefault="008423E4" w:rsidP="007F3EE7"/>
    <w:p w14:paraId="4A82698F" w14:textId="77777777" w:rsidR="008423E4" w:rsidRDefault="008423E4" w:rsidP="007F3EE7"/>
    <w:tbl>
      <w:tblPr>
        <w:tblW w:w="0" w:type="auto"/>
        <w:tblCellMar>
          <w:left w:w="115" w:type="dxa"/>
          <w:right w:w="115" w:type="dxa"/>
        </w:tblCellMar>
        <w:tblLook w:val="01E0" w:firstRow="1" w:lastRow="1" w:firstColumn="1" w:lastColumn="1" w:noHBand="0" w:noVBand="0"/>
      </w:tblPr>
      <w:tblGrid>
        <w:gridCol w:w="9360"/>
      </w:tblGrid>
      <w:tr w:rsidR="00095A6B" w14:paraId="7A2A5DA1" w14:textId="77777777" w:rsidTr="00345119">
        <w:tc>
          <w:tcPr>
            <w:tcW w:w="9576" w:type="dxa"/>
          </w:tcPr>
          <w:p w14:paraId="08186FA4" w14:textId="77777777" w:rsidR="008423E4" w:rsidRPr="00A8133F" w:rsidRDefault="00E76853" w:rsidP="007F3EE7">
            <w:pPr>
              <w:rPr>
                <w:b/>
              </w:rPr>
            </w:pPr>
            <w:r w:rsidRPr="009C1E9A">
              <w:rPr>
                <w:b/>
                <w:u w:val="single"/>
              </w:rPr>
              <w:t>BACKGROUND AND PURPOSE</w:t>
            </w:r>
            <w:r>
              <w:rPr>
                <w:b/>
              </w:rPr>
              <w:t xml:space="preserve"> </w:t>
            </w:r>
          </w:p>
          <w:p w14:paraId="2C7F8E24" w14:textId="77777777" w:rsidR="008423E4" w:rsidRDefault="008423E4" w:rsidP="007F3EE7"/>
          <w:p w14:paraId="347CD152" w14:textId="0F699F43" w:rsidR="008423E4" w:rsidRDefault="00E76853" w:rsidP="007F3EE7">
            <w:pPr>
              <w:pStyle w:val="Header"/>
              <w:tabs>
                <w:tab w:val="clear" w:pos="4320"/>
                <w:tab w:val="clear" w:pos="8640"/>
              </w:tabs>
              <w:jc w:val="both"/>
            </w:pPr>
            <w:r w:rsidRPr="00C2202B">
              <w:t xml:space="preserve">The bill author has informed the committee that there are residential developments in Texas that have been structured as business </w:t>
            </w:r>
            <w:r w:rsidRPr="00C2202B">
              <w:t>entities, where individuals purchase ownership interests in the development, and that current law does not address this type of ownership in which residential arrangements are controlled by business entities. The bill author has also informed the committee that, if ownership entitles the investor to direct title to the property, it can create uncertainty for investors, particularly regarding their rights to possess, transfer, or sell their interests. The bill author has further informed the committee that t</w:t>
            </w:r>
            <w:r w:rsidRPr="00C2202B">
              <w:t>he lack of statutory clarity and oversight leaves individuals vulnerable to unfair treatment, legal disadvantages, and deceptive practices, as such managing entities can impose restrictive rules, high fees, or discriminatory practices that would be unlawful in traditional housing contexts. H.B. 4211 seeks to address these issues by providing a regulatory framework for business entity-owned residential arrangements to ensure that individuals investing in these arrangements receive basic protections similar t</w:t>
            </w:r>
            <w:r w:rsidRPr="00C2202B">
              <w:t>o traditional property owners.</w:t>
            </w:r>
          </w:p>
          <w:p w14:paraId="33771340" w14:textId="77777777" w:rsidR="008423E4" w:rsidRPr="00E26B13" w:rsidRDefault="008423E4" w:rsidP="007F3EE7">
            <w:pPr>
              <w:rPr>
                <w:b/>
              </w:rPr>
            </w:pPr>
          </w:p>
        </w:tc>
      </w:tr>
      <w:tr w:rsidR="00095A6B" w14:paraId="3371BD73" w14:textId="77777777" w:rsidTr="00345119">
        <w:tc>
          <w:tcPr>
            <w:tcW w:w="9576" w:type="dxa"/>
          </w:tcPr>
          <w:p w14:paraId="4656F275" w14:textId="77777777" w:rsidR="0017725B" w:rsidRDefault="00E76853" w:rsidP="007F3EE7">
            <w:pPr>
              <w:rPr>
                <w:b/>
                <w:u w:val="single"/>
              </w:rPr>
            </w:pPr>
            <w:r>
              <w:rPr>
                <w:b/>
                <w:u w:val="single"/>
              </w:rPr>
              <w:t>CRIMINAL JUSTICE IMPACT</w:t>
            </w:r>
          </w:p>
          <w:p w14:paraId="10A04DD8" w14:textId="77777777" w:rsidR="0017725B" w:rsidRDefault="0017725B" w:rsidP="007F3EE7">
            <w:pPr>
              <w:rPr>
                <w:b/>
                <w:u w:val="single"/>
              </w:rPr>
            </w:pPr>
          </w:p>
          <w:p w14:paraId="3378B451" w14:textId="38AA483D" w:rsidR="002F0BD4" w:rsidRPr="002F0BD4" w:rsidRDefault="00E76853" w:rsidP="007F3EE7">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735BBC9" w14:textId="77777777" w:rsidR="0017725B" w:rsidRPr="0017725B" w:rsidRDefault="0017725B" w:rsidP="007F3EE7">
            <w:pPr>
              <w:rPr>
                <w:b/>
                <w:u w:val="single"/>
              </w:rPr>
            </w:pPr>
          </w:p>
        </w:tc>
      </w:tr>
      <w:tr w:rsidR="00095A6B" w14:paraId="05853EB6" w14:textId="77777777" w:rsidTr="00345119">
        <w:tc>
          <w:tcPr>
            <w:tcW w:w="9576" w:type="dxa"/>
          </w:tcPr>
          <w:p w14:paraId="2D7DBDCB" w14:textId="77777777" w:rsidR="008423E4" w:rsidRPr="00A8133F" w:rsidRDefault="00E76853" w:rsidP="007F3EE7">
            <w:pPr>
              <w:rPr>
                <w:b/>
              </w:rPr>
            </w:pPr>
            <w:r w:rsidRPr="009C1E9A">
              <w:rPr>
                <w:b/>
                <w:u w:val="single"/>
              </w:rPr>
              <w:t>RULEMAKING AUTHORITY</w:t>
            </w:r>
            <w:r>
              <w:rPr>
                <w:b/>
              </w:rPr>
              <w:t xml:space="preserve"> </w:t>
            </w:r>
          </w:p>
          <w:p w14:paraId="4BE6E67E" w14:textId="77777777" w:rsidR="008423E4" w:rsidRDefault="008423E4" w:rsidP="007F3EE7"/>
          <w:p w14:paraId="4859F2EE" w14:textId="3DC96CA7" w:rsidR="002F0BD4" w:rsidRDefault="00E76853" w:rsidP="007F3EE7">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567FF274" w14:textId="77777777" w:rsidR="008423E4" w:rsidRPr="00E21FDC" w:rsidRDefault="008423E4" w:rsidP="007F3EE7">
            <w:pPr>
              <w:rPr>
                <w:b/>
              </w:rPr>
            </w:pPr>
          </w:p>
        </w:tc>
      </w:tr>
      <w:tr w:rsidR="00095A6B" w14:paraId="20F0B181" w14:textId="77777777" w:rsidTr="00345119">
        <w:tc>
          <w:tcPr>
            <w:tcW w:w="9576" w:type="dxa"/>
          </w:tcPr>
          <w:p w14:paraId="63C3752D" w14:textId="77777777" w:rsidR="008423E4" w:rsidRPr="00A8133F" w:rsidRDefault="00E76853" w:rsidP="007F3EE7">
            <w:pPr>
              <w:rPr>
                <w:b/>
              </w:rPr>
            </w:pPr>
            <w:r w:rsidRPr="009C1E9A">
              <w:rPr>
                <w:b/>
                <w:u w:val="single"/>
              </w:rPr>
              <w:t>ANALYSIS</w:t>
            </w:r>
            <w:r>
              <w:rPr>
                <w:b/>
              </w:rPr>
              <w:t xml:space="preserve"> </w:t>
            </w:r>
          </w:p>
          <w:p w14:paraId="5C732DDE" w14:textId="77777777" w:rsidR="008423E4" w:rsidRDefault="008423E4" w:rsidP="007F3EE7"/>
          <w:p w14:paraId="49B3746A" w14:textId="78D5C21B" w:rsidR="009C36CD" w:rsidRDefault="00E76853" w:rsidP="007F3EE7">
            <w:pPr>
              <w:pStyle w:val="Header"/>
              <w:tabs>
                <w:tab w:val="clear" w:pos="4320"/>
                <w:tab w:val="clear" w:pos="8640"/>
              </w:tabs>
              <w:jc w:val="both"/>
            </w:pPr>
            <w:r w:rsidRPr="008A4261">
              <w:t>H.B. 4211</w:t>
            </w:r>
            <w:r>
              <w:t xml:space="preserve"> amends the </w:t>
            </w:r>
            <w:r w:rsidRPr="008A4261">
              <w:t>Property Code</w:t>
            </w:r>
            <w:r>
              <w:t xml:space="preserve"> to require an </w:t>
            </w:r>
            <w:r w:rsidRPr="008A4261">
              <w:t>agreement for the purchase of an interest in a managing entity</w:t>
            </w:r>
            <w:r>
              <w:t xml:space="preserve"> to</w:t>
            </w:r>
            <w:r w:rsidRPr="008A4261">
              <w:t xml:space="preserve"> disclose to the purchaser that the agreement is for the purchase of an interest in the entity and not in any residential property itself.</w:t>
            </w:r>
            <w:r w:rsidR="00CF4EE1">
              <w:t xml:space="preserve"> </w:t>
            </w:r>
            <w:r>
              <w:t xml:space="preserve">The bill prohibits the </w:t>
            </w:r>
            <w:r w:rsidRPr="008A4261">
              <w:t xml:space="preserve">purchase agreement and any other agreement or rules governing the residential arrangement or the ownership interest in the entity </w:t>
            </w:r>
            <w:r>
              <w:t>from requiring</w:t>
            </w:r>
            <w:r w:rsidRPr="008A4261">
              <w:t xml:space="preserve"> that a dispute concerning the arrangement or interest be brought before a tribunal other than a court established under </w:t>
            </w:r>
            <w:r>
              <w:t>state or federal law</w:t>
            </w:r>
            <w:r w:rsidRPr="008A4261">
              <w:t>.</w:t>
            </w:r>
          </w:p>
          <w:p w14:paraId="66FE1F05" w14:textId="77777777" w:rsidR="004C0317" w:rsidRDefault="004C0317" w:rsidP="007F3EE7">
            <w:pPr>
              <w:pStyle w:val="Header"/>
              <w:tabs>
                <w:tab w:val="clear" w:pos="4320"/>
                <w:tab w:val="clear" w:pos="8640"/>
              </w:tabs>
              <w:jc w:val="both"/>
            </w:pPr>
          </w:p>
          <w:p w14:paraId="436BDCB5" w14:textId="5BB12C38" w:rsidR="004C0317" w:rsidRDefault="00E76853" w:rsidP="007F3EE7">
            <w:pPr>
              <w:pStyle w:val="Header"/>
              <w:jc w:val="both"/>
            </w:pPr>
            <w:r>
              <w:t xml:space="preserve">H.B. 4211 prohibits a managing entity from taking an action with respect to an interest in </w:t>
            </w:r>
            <w:r w:rsidR="0082791D">
              <w:t>an</w:t>
            </w:r>
            <w:r>
              <w:t xml:space="preserve"> entity in a manner that would be a violation of </w:t>
            </w:r>
            <w:r w:rsidRPr="004C0317">
              <w:t>the Texas Fair Housing Act</w:t>
            </w:r>
            <w:r>
              <w:t xml:space="preserve"> if the interest in the entity were an interest in real property, including the following</w:t>
            </w:r>
            <w:r w:rsidR="0082791D">
              <w:t xml:space="preserve"> actions</w:t>
            </w:r>
            <w:r>
              <w:t>:</w:t>
            </w:r>
          </w:p>
          <w:p w14:paraId="1C956B93" w14:textId="3A52F76B" w:rsidR="004C0317" w:rsidRDefault="00E76853" w:rsidP="007F3EE7">
            <w:pPr>
              <w:pStyle w:val="Header"/>
              <w:numPr>
                <w:ilvl w:val="0"/>
                <w:numId w:val="2"/>
              </w:numPr>
              <w:jc w:val="both"/>
            </w:pPr>
            <w:r>
              <w:t>restricting the transfer of the interest;</w:t>
            </w:r>
          </w:p>
          <w:p w14:paraId="36EE64EF" w14:textId="2E9B6D69" w:rsidR="004C0317" w:rsidRDefault="00E76853" w:rsidP="007F3EE7">
            <w:pPr>
              <w:pStyle w:val="Header"/>
              <w:numPr>
                <w:ilvl w:val="0"/>
                <w:numId w:val="2"/>
              </w:numPr>
              <w:jc w:val="both"/>
            </w:pPr>
            <w:r>
              <w:t>imposing requirements to maintain the interest; or</w:t>
            </w:r>
          </w:p>
          <w:p w14:paraId="13BF3675" w14:textId="1BC1222C" w:rsidR="004C0317" w:rsidRDefault="00E76853" w:rsidP="007F3EE7">
            <w:pPr>
              <w:pStyle w:val="Header"/>
              <w:numPr>
                <w:ilvl w:val="0"/>
                <w:numId w:val="2"/>
              </w:numPr>
              <w:tabs>
                <w:tab w:val="clear" w:pos="4320"/>
                <w:tab w:val="clear" w:pos="8640"/>
              </w:tabs>
              <w:jc w:val="both"/>
            </w:pPr>
            <w:r>
              <w:t>refusing to grant an interest to an otherwise qualified person.</w:t>
            </w:r>
          </w:p>
          <w:p w14:paraId="4A11A80E" w14:textId="45F7906E" w:rsidR="00893FF6" w:rsidRDefault="00E76853" w:rsidP="007F3EE7">
            <w:pPr>
              <w:pStyle w:val="Header"/>
              <w:tabs>
                <w:tab w:val="clear" w:pos="4320"/>
                <w:tab w:val="clear" w:pos="8640"/>
              </w:tabs>
              <w:jc w:val="both"/>
            </w:pPr>
            <w:r>
              <w:t>The bill,</w:t>
            </w:r>
            <w:r w:rsidRPr="00A23EC5">
              <w:t xml:space="preserve"> notwithstanding any provision in an agreement between the owner and the managing entity,</w:t>
            </w:r>
            <w:r w:rsidR="004C0317">
              <w:t xml:space="preserve"> authorizes an </w:t>
            </w:r>
            <w:r w:rsidR="004C0317" w:rsidRPr="004C0317">
              <w:t>owner of an interest in a managing entity</w:t>
            </w:r>
            <w:r>
              <w:t xml:space="preserve"> </w:t>
            </w:r>
            <w:r w:rsidR="004C0317">
              <w:t xml:space="preserve">to </w:t>
            </w:r>
            <w:r w:rsidR="004C0317" w:rsidRPr="004C0317">
              <w:t>transfer the interest without approval from the managing entity.</w:t>
            </w:r>
            <w:r w:rsidR="004C0317">
              <w:t xml:space="preserve"> The bill prohibits a managing entity from charging </w:t>
            </w:r>
            <w:r w:rsidR="00744B85" w:rsidRPr="00744B85">
              <w:t>a fee for or share in the proceeds of the transfer of an interest in the managing entity from an owner to a subsequent purchaser.</w:t>
            </w:r>
            <w:r w:rsidR="00744B85">
              <w:t xml:space="preserve"> The bill establishes that a violation of its provisions relating to </w:t>
            </w:r>
            <w:r w:rsidR="00744B85" w:rsidRPr="00744B85">
              <w:t>business entity-owned residential arrangements</w:t>
            </w:r>
            <w:r w:rsidR="00744B85">
              <w:t xml:space="preserve"> </w:t>
            </w:r>
            <w:r w:rsidR="00744B85" w:rsidRPr="00744B85">
              <w:t>is a deceptive trade practice under</w:t>
            </w:r>
            <w:r w:rsidR="00744B85">
              <w:t xml:space="preserve"> </w:t>
            </w:r>
            <w:r w:rsidR="00744B85" w:rsidRPr="00744B85">
              <w:t>the Deceptive Trade Practices-Consumer Protection Act</w:t>
            </w:r>
            <w:r>
              <w:t xml:space="preserve"> and that those provisions expressly do not apply to </w:t>
            </w:r>
            <w:r w:rsidRPr="00893FF6">
              <w:t>a timeshare plan, defined by reference to the Texas Timeshare Act</w:t>
            </w:r>
            <w:r>
              <w:t>.</w:t>
            </w:r>
          </w:p>
          <w:p w14:paraId="6DFF58A3" w14:textId="77777777" w:rsidR="00893FF6" w:rsidRDefault="00893FF6" w:rsidP="007F3EE7">
            <w:pPr>
              <w:pStyle w:val="Header"/>
              <w:tabs>
                <w:tab w:val="clear" w:pos="4320"/>
                <w:tab w:val="clear" w:pos="8640"/>
              </w:tabs>
              <w:jc w:val="both"/>
            </w:pPr>
          </w:p>
          <w:p w14:paraId="13AE3544" w14:textId="2481EBCE" w:rsidR="008A4261" w:rsidRDefault="00E76853" w:rsidP="007F3EE7">
            <w:pPr>
              <w:pStyle w:val="Header"/>
              <w:tabs>
                <w:tab w:val="clear" w:pos="4320"/>
                <w:tab w:val="clear" w:pos="8640"/>
              </w:tabs>
              <w:jc w:val="both"/>
            </w:pPr>
            <w:r>
              <w:t>H.B. 4211</w:t>
            </w:r>
            <w:r w:rsidR="00A23EC5">
              <w:t xml:space="preserve"> establishes that the religious organization, private club, and appraisal</w:t>
            </w:r>
            <w:r w:rsidR="000C4800">
              <w:t xml:space="preserve"> exemption under the Texas Fair Housing Act</w:t>
            </w:r>
            <w:r w:rsidR="002F0BD4">
              <w:t xml:space="preserve"> do</w:t>
            </w:r>
            <w:r w:rsidR="00A23EC5">
              <w:t>es</w:t>
            </w:r>
            <w:r w:rsidR="002F0BD4">
              <w:t xml:space="preserve"> not apply to </w:t>
            </w:r>
            <w:r w:rsidR="002F0BD4" w:rsidRPr="002F0BD4">
              <w:t>the sale, rental, or occupancy of a dwelling that is a single-family house, duplex, triplex, or quadruplex located on a subdivided lot in a parcel of land 25 acres or greater owned by a religious organization, association, or society or a nonprofit institution or organization operated, supervised, or controlled by or in conjunction with a religious organization, association, or society.</w:t>
            </w:r>
          </w:p>
          <w:p w14:paraId="2D737F4A" w14:textId="77777777" w:rsidR="00893FF6" w:rsidRDefault="00893FF6" w:rsidP="007F3EE7">
            <w:pPr>
              <w:pStyle w:val="Header"/>
              <w:tabs>
                <w:tab w:val="clear" w:pos="4320"/>
                <w:tab w:val="clear" w:pos="8640"/>
              </w:tabs>
              <w:jc w:val="both"/>
            </w:pPr>
          </w:p>
          <w:p w14:paraId="31D36D68" w14:textId="719E9F98" w:rsidR="00893FF6" w:rsidRDefault="00E76853" w:rsidP="007F3EE7">
            <w:pPr>
              <w:pStyle w:val="Header"/>
              <w:tabs>
                <w:tab w:val="clear" w:pos="4320"/>
                <w:tab w:val="clear" w:pos="8640"/>
              </w:tabs>
              <w:jc w:val="both"/>
            </w:pPr>
            <w:r>
              <w:t>H.B. 4211 defines the following terms for purposes of the bill's provisions:</w:t>
            </w:r>
          </w:p>
          <w:p w14:paraId="1B895998" w14:textId="77777777" w:rsidR="00DA3EFA" w:rsidRDefault="00E76853" w:rsidP="007F3EE7">
            <w:pPr>
              <w:pStyle w:val="Header"/>
              <w:numPr>
                <w:ilvl w:val="0"/>
                <w:numId w:val="1"/>
              </w:numPr>
              <w:tabs>
                <w:tab w:val="clear" w:pos="4320"/>
                <w:tab w:val="clear" w:pos="8640"/>
              </w:tabs>
              <w:jc w:val="both"/>
            </w:pPr>
            <w:r w:rsidRPr="008A4261">
              <w:t>"</w:t>
            </w:r>
            <w:r>
              <w:t>b</w:t>
            </w:r>
            <w:r w:rsidRPr="008A4261">
              <w:t xml:space="preserve">usiness entity" </w:t>
            </w:r>
            <w:r>
              <w:t>as</w:t>
            </w:r>
            <w:r w:rsidRPr="008A4261">
              <w:t xml:space="preserve"> a partnership, corporation, joint venture, limited liability company, or other business organization or business association, however organized</w:t>
            </w:r>
            <w:r>
              <w:t>;</w:t>
            </w:r>
          </w:p>
          <w:p w14:paraId="1718F2F8" w14:textId="751859C5" w:rsidR="00893FF6" w:rsidRDefault="00E76853" w:rsidP="007F3EE7">
            <w:pPr>
              <w:pStyle w:val="Header"/>
              <w:numPr>
                <w:ilvl w:val="0"/>
                <w:numId w:val="1"/>
              </w:numPr>
              <w:tabs>
                <w:tab w:val="clear" w:pos="4320"/>
                <w:tab w:val="clear" w:pos="8640"/>
              </w:tabs>
              <w:jc w:val="both"/>
            </w:pPr>
            <w:r w:rsidRPr="008A4261">
              <w:t>"</w:t>
            </w:r>
            <w:r>
              <w:t>m</w:t>
            </w:r>
            <w:r w:rsidRPr="008A4261">
              <w:t xml:space="preserve">anaging entity" </w:t>
            </w:r>
            <w:r>
              <w:t>as</w:t>
            </w:r>
            <w:r w:rsidRPr="008A4261">
              <w:t xml:space="preserve"> a business entity that owns residential property used in a residential arrangement</w:t>
            </w:r>
            <w:r>
              <w:t>;</w:t>
            </w:r>
          </w:p>
          <w:p w14:paraId="1618117E" w14:textId="77777777" w:rsidR="00893FF6" w:rsidRDefault="00E76853" w:rsidP="007F3EE7">
            <w:pPr>
              <w:pStyle w:val="Header"/>
              <w:numPr>
                <w:ilvl w:val="0"/>
                <w:numId w:val="1"/>
              </w:numPr>
              <w:tabs>
                <w:tab w:val="clear" w:pos="4320"/>
                <w:tab w:val="clear" w:pos="8640"/>
              </w:tabs>
              <w:jc w:val="both"/>
            </w:pPr>
            <w:r>
              <w:t>"r</w:t>
            </w:r>
            <w:r w:rsidRPr="008A4261">
              <w:t xml:space="preserve">esidential arrangement" </w:t>
            </w:r>
            <w:r>
              <w:t>as</w:t>
            </w:r>
            <w:r w:rsidRPr="008A4261">
              <w:t xml:space="preserve"> an arrangement in which the purchaser of an interest in a business entity is entitled to exclusive possession of residential property owned by the entity as long as the purchaser holds the interest in the business entity</w:t>
            </w:r>
            <w:r>
              <w:t>; and</w:t>
            </w:r>
          </w:p>
          <w:p w14:paraId="5A912354" w14:textId="63A04230" w:rsidR="00893FF6" w:rsidRPr="009C36CD" w:rsidRDefault="00E76853" w:rsidP="007F3EE7">
            <w:pPr>
              <w:pStyle w:val="Header"/>
              <w:numPr>
                <w:ilvl w:val="0"/>
                <w:numId w:val="1"/>
              </w:numPr>
              <w:tabs>
                <w:tab w:val="clear" w:pos="4320"/>
                <w:tab w:val="clear" w:pos="8640"/>
              </w:tabs>
              <w:jc w:val="both"/>
            </w:pPr>
            <w:r w:rsidRPr="004C0317">
              <w:t>"</w:t>
            </w:r>
            <w:r>
              <w:t>r</w:t>
            </w:r>
            <w:r w:rsidRPr="004C0317">
              <w:t xml:space="preserve">esidential property" </w:t>
            </w:r>
            <w:r>
              <w:t>as</w:t>
            </w:r>
            <w:r w:rsidRPr="004C0317">
              <w:t xml:space="preserve"> the real property and improvements for a single-family house, duplex, triplex, or quadruplex.</w:t>
            </w:r>
          </w:p>
          <w:p w14:paraId="0485ED63" w14:textId="77777777" w:rsidR="008423E4" w:rsidRPr="00835628" w:rsidRDefault="008423E4" w:rsidP="007F3EE7">
            <w:pPr>
              <w:rPr>
                <w:b/>
              </w:rPr>
            </w:pPr>
          </w:p>
        </w:tc>
      </w:tr>
      <w:tr w:rsidR="00095A6B" w14:paraId="0585DBD1" w14:textId="77777777" w:rsidTr="00345119">
        <w:tc>
          <w:tcPr>
            <w:tcW w:w="9576" w:type="dxa"/>
          </w:tcPr>
          <w:p w14:paraId="4CD660BA" w14:textId="77777777" w:rsidR="008423E4" w:rsidRPr="00A8133F" w:rsidRDefault="00E76853" w:rsidP="007F3EE7">
            <w:pPr>
              <w:rPr>
                <w:b/>
              </w:rPr>
            </w:pPr>
            <w:r w:rsidRPr="009C1E9A">
              <w:rPr>
                <w:b/>
                <w:u w:val="single"/>
              </w:rPr>
              <w:t>EFFECTIVE DATE</w:t>
            </w:r>
            <w:r>
              <w:rPr>
                <w:b/>
              </w:rPr>
              <w:t xml:space="preserve"> </w:t>
            </w:r>
          </w:p>
          <w:p w14:paraId="5749A89E" w14:textId="77777777" w:rsidR="008423E4" w:rsidRDefault="008423E4" w:rsidP="007F3EE7"/>
          <w:p w14:paraId="3FD6A890" w14:textId="0EE87113" w:rsidR="008423E4" w:rsidRPr="003624F2" w:rsidRDefault="00E76853" w:rsidP="007F3EE7">
            <w:pPr>
              <w:pStyle w:val="Header"/>
              <w:tabs>
                <w:tab w:val="clear" w:pos="4320"/>
                <w:tab w:val="clear" w:pos="8640"/>
              </w:tabs>
              <w:jc w:val="both"/>
            </w:pPr>
            <w:r w:rsidRPr="002F0BD4">
              <w:t>September 1, 2025.</w:t>
            </w:r>
          </w:p>
          <w:p w14:paraId="290D7D1F" w14:textId="77777777" w:rsidR="008423E4" w:rsidRPr="00233FDB" w:rsidRDefault="008423E4" w:rsidP="007F3EE7">
            <w:pPr>
              <w:rPr>
                <w:b/>
              </w:rPr>
            </w:pPr>
          </w:p>
        </w:tc>
      </w:tr>
    </w:tbl>
    <w:p w14:paraId="7B4E9453" w14:textId="77777777" w:rsidR="008423E4" w:rsidRPr="00BE0E75" w:rsidRDefault="008423E4" w:rsidP="007F3EE7">
      <w:pPr>
        <w:jc w:val="both"/>
        <w:rPr>
          <w:rFonts w:ascii="Arial" w:hAnsi="Arial"/>
          <w:sz w:val="16"/>
          <w:szCs w:val="16"/>
        </w:rPr>
      </w:pPr>
    </w:p>
    <w:p w14:paraId="109D2539" w14:textId="77777777" w:rsidR="004108C3" w:rsidRPr="008423E4" w:rsidRDefault="004108C3" w:rsidP="007F3EE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B6CF" w14:textId="77777777" w:rsidR="00E76853" w:rsidRDefault="00E76853">
      <w:r>
        <w:separator/>
      </w:r>
    </w:p>
  </w:endnote>
  <w:endnote w:type="continuationSeparator" w:id="0">
    <w:p w14:paraId="01B25DE8" w14:textId="77777777" w:rsidR="00E76853" w:rsidRDefault="00E7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40F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95A6B" w14:paraId="457D79ED" w14:textId="77777777" w:rsidTr="009C1E9A">
      <w:trPr>
        <w:cantSplit/>
      </w:trPr>
      <w:tc>
        <w:tcPr>
          <w:tcW w:w="0" w:type="pct"/>
        </w:tcPr>
        <w:p w14:paraId="6D2C1FBB" w14:textId="77777777" w:rsidR="00137D90" w:rsidRDefault="00137D90" w:rsidP="009C1E9A">
          <w:pPr>
            <w:pStyle w:val="Footer"/>
            <w:tabs>
              <w:tab w:val="clear" w:pos="8640"/>
              <w:tab w:val="right" w:pos="9360"/>
            </w:tabs>
          </w:pPr>
        </w:p>
      </w:tc>
      <w:tc>
        <w:tcPr>
          <w:tcW w:w="2395" w:type="pct"/>
        </w:tcPr>
        <w:p w14:paraId="50CA4CE2" w14:textId="77777777" w:rsidR="00137D90" w:rsidRDefault="00137D90" w:rsidP="009C1E9A">
          <w:pPr>
            <w:pStyle w:val="Footer"/>
            <w:tabs>
              <w:tab w:val="clear" w:pos="8640"/>
              <w:tab w:val="right" w:pos="9360"/>
            </w:tabs>
          </w:pPr>
        </w:p>
        <w:p w14:paraId="7BF44EFE" w14:textId="77777777" w:rsidR="001A4310" w:rsidRDefault="001A4310" w:rsidP="009C1E9A">
          <w:pPr>
            <w:pStyle w:val="Footer"/>
            <w:tabs>
              <w:tab w:val="clear" w:pos="8640"/>
              <w:tab w:val="right" w:pos="9360"/>
            </w:tabs>
          </w:pPr>
        </w:p>
        <w:p w14:paraId="66875EC2" w14:textId="77777777" w:rsidR="00137D90" w:rsidRDefault="00137D90" w:rsidP="009C1E9A">
          <w:pPr>
            <w:pStyle w:val="Footer"/>
            <w:tabs>
              <w:tab w:val="clear" w:pos="8640"/>
              <w:tab w:val="right" w:pos="9360"/>
            </w:tabs>
          </w:pPr>
        </w:p>
      </w:tc>
      <w:tc>
        <w:tcPr>
          <w:tcW w:w="2453" w:type="pct"/>
        </w:tcPr>
        <w:p w14:paraId="724B154F" w14:textId="77777777" w:rsidR="00137D90" w:rsidRDefault="00137D90" w:rsidP="009C1E9A">
          <w:pPr>
            <w:pStyle w:val="Footer"/>
            <w:tabs>
              <w:tab w:val="clear" w:pos="8640"/>
              <w:tab w:val="right" w:pos="9360"/>
            </w:tabs>
            <w:jc w:val="right"/>
          </w:pPr>
        </w:p>
      </w:tc>
    </w:tr>
    <w:tr w:rsidR="00095A6B" w14:paraId="28F63A66" w14:textId="77777777" w:rsidTr="009C1E9A">
      <w:trPr>
        <w:cantSplit/>
      </w:trPr>
      <w:tc>
        <w:tcPr>
          <w:tcW w:w="0" w:type="pct"/>
        </w:tcPr>
        <w:p w14:paraId="79BB473F" w14:textId="77777777" w:rsidR="00EC379B" w:rsidRDefault="00EC379B" w:rsidP="009C1E9A">
          <w:pPr>
            <w:pStyle w:val="Footer"/>
            <w:tabs>
              <w:tab w:val="clear" w:pos="8640"/>
              <w:tab w:val="right" w:pos="9360"/>
            </w:tabs>
          </w:pPr>
        </w:p>
      </w:tc>
      <w:tc>
        <w:tcPr>
          <w:tcW w:w="2395" w:type="pct"/>
        </w:tcPr>
        <w:p w14:paraId="20A92709" w14:textId="5E664EE9" w:rsidR="00EC379B" w:rsidRPr="009C1E9A" w:rsidRDefault="00E76853" w:rsidP="009C1E9A">
          <w:pPr>
            <w:pStyle w:val="Footer"/>
            <w:tabs>
              <w:tab w:val="clear" w:pos="8640"/>
              <w:tab w:val="right" w:pos="9360"/>
            </w:tabs>
            <w:rPr>
              <w:rFonts w:ascii="Shruti" w:hAnsi="Shruti"/>
              <w:sz w:val="22"/>
            </w:rPr>
          </w:pPr>
          <w:r>
            <w:rPr>
              <w:rFonts w:ascii="Shruti" w:hAnsi="Shruti"/>
              <w:sz w:val="22"/>
            </w:rPr>
            <w:t>89R 28564-D</w:t>
          </w:r>
        </w:p>
      </w:tc>
      <w:tc>
        <w:tcPr>
          <w:tcW w:w="2453" w:type="pct"/>
        </w:tcPr>
        <w:p w14:paraId="144B5485" w14:textId="456CADD1" w:rsidR="00EC379B" w:rsidRDefault="00E76853" w:rsidP="009C1E9A">
          <w:pPr>
            <w:pStyle w:val="Footer"/>
            <w:tabs>
              <w:tab w:val="clear" w:pos="8640"/>
              <w:tab w:val="right" w:pos="9360"/>
            </w:tabs>
            <w:jc w:val="right"/>
          </w:pPr>
          <w:r>
            <w:fldChar w:fldCharType="begin"/>
          </w:r>
          <w:r>
            <w:instrText xml:space="preserve"> DOCPROPERTY  OTID  \* MERGEFORMAT </w:instrText>
          </w:r>
          <w:r>
            <w:fldChar w:fldCharType="separate"/>
          </w:r>
          <w:r w:rsidR="001A356A">
            <w:t>25.125.231</w:t>
          </w:r>
          <w:r>
            <w:fldChar w:fldCharType="end"/>
          </w:r>
        </w:p>
      </w:tc>
    </w:tr>
    <w:tr w:rsidR="00095A6B" w14:paraId="0DD1E536" w14:textId="77777777" w:rsidTr="009C1E9A">
      <w:trPr>
        <w:cantSplit/>
      </w:trPr>
      <w:tc>
        <w:tcPr>
          <w:tcW w:w="0" w:type="pct"/>
        </w:tcPr>
        <w:p w14:paraId="092B2ADB" w14:textId="77777777" w:rsidR="00EC379B" w:rsidRDefault="00EC379B" w:rsidP="009C1E9A">
          <w:pPr>
            <w:pStyle w:val="Footer"/>
            <w:tabs>
              <w:tab w:val="clear" w:pos="4320"/>
              <w:tab w:val="clear" w:pos="8640"/>
              <w:tab w:val="left" w:pos="2865"/>
            </w:tabs>
          </w:pPr>
        </w:p>
      </w:tc>
      <w:tc>
        <w:tcPr>
          <w:tcW w:w="2395" w:type="pct"/>
        </w:tcPr>
        <w:p w14:paraId="5817D83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5CDB854" w14:textId="77777777" w:rsidR="00EC379B" w:rsidRDefault="00EC379B" w:rsidP="006D504F">
          <w:pPr>
            <w:pStyle w:val="Footer"/>
            <w:rPr>
              <w:rStyle w:val="PageNumber"/>
            </w:rPr>
          </w:pPr>
        </w:p>
        <w:p w14:paraId="602530E7" w14:textId="77777777" w:rsidR="00EC379B" w:rsidRDefault="00EC379B" w:rsidP="009C1E9A">
          <w:pPr>
            <w:pStyle w:val="Footer"/>
            <w:tabs>
              <w:tab w:val="clear" w:pos="8640"/>
              <w:tab w:val="right" w:pos="9360"/>
            </w:tabs>
            <w:jc w:val="right"/>
          </w:pPr>
        </w:p>
      </w:tc>
    </w:tr>
    <w:tr w:rsidR="00095A6B" w14:paraId="4519AB7F" w14:textId="77777777" w:rsidTr="009C1E9A">
      <w:trPr>
        <w:cantSplit/>
        <w:trHeight w:val="323"/>
      </w:trPr>
      <w:tc>
        <w:tcPr>
          <w:tcW w:w="0" w:type="pct"/>
          <w:gridSpan w:val="3"/>
        </w:tcPr>
        <w:p w14:paraId="4853138C" w14:textId="77777777" w:rsidR="00EC379B" w:rsidRDefault="00E7685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621ADEA" w14:textId="77777777" w:rsidR="00EC379B" w:rsidRDefault="00EC379B" w:rsidP="009C1E9A">
          <w:pPr>
            <w:pStyle w:val="Footer"/>
            <w:tabs>
              <w:tab w:val="clear" w:pos="8640"/>
              <w:tab w:val="right" w:pos="9360"/>
            </w:tabs>
            <w:jc w:val="center"/>
          </w:pPr>
        </w:p>
      </w:tc>
    </w:tr>
  </w:tbl>
  <w:p w14:paraId="04D4F78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902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C874" w14:textId="77777777" w:rsidR="00E76853" w:rsidRDefault="00E76853">
      <w:r>
        <w:separator/>
      </w:r>
    </w:p>
  </w:footnote>
  <w:footnote w:type="continuationSeparator" w:id="0">
    <w:p w14:paraId="211573FC" w14:textId="77777777" w:rsidR="00E76853" w:rsidRDefault="00E76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8DC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D42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C4F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1F37"/>
    <w:multiLevelType w:val="hybridMultilevel"/>
    <w:tmpl w:val="275EA402"/>
    <w:lvl w:ilvl="0" w:tplc="8D02EC08">
      <w:start w:val="1"/>
      <w:numFmt w:val="decimal"/>
      <w:lvlText w:val="(%1)"/>
      <w:lvlJc w:val="left"/>
      <w:pPr>
        <w:ind w:left="758" w:hanging="398"/>
      </w:pPr>
      <w:rPr>
        <w:rFonts w:hint="default"/>
      </w:rPr>
    </w:lvl>
    <w:lvl w:ilvl="1" w:tplc="7C36B0CA" w:tentative="1">
      <w:start w:val="1"/>
      <w:numFmt w:val="lowerLetter"/>
      <w:lvlText w:val="%2."/>
      <w:lvlJc w:val="left"/>
      <w:pPr>
        <w:ind w:left="1440" w:hanging="360"/>
      </w:pPr>
    </w:lvl>
    <w:lvl w:ilvl="2" w:tplc="BF769522" w:tentative="1">
      <w:start w:val="1"/>
      <w:numFmt w:val="lowerRoman"/>
      <w:lvlText w:val="%3."/>
      <w:lvlJc w:val="right"/>
      <w:pPr>
        <w:ind w:left="2160" w:hanging="180"/>
      </w:pPr>
    </w:lvl>
    <w:lvl w:ilvl="3" w:tplc="D18437DA" w:tentative="1">
      <w:start w:val="1"/>
      <w:numFmt w:val="decimal"/>
      <w:lvlText w:val="%4."/>
      <w:lvlJc w:val="left"/>
      <w:pPr>
        <w:ind w:left="2880" w:hanging="360"/>
      </w:pPr>
    </w:lvl>
    <w:lvl w:ilvl="4" w:tplc="2E28FCD6" w:tentative="1">
      <w:start w:val="1"/>
      <w:numFmt w:val="lowerLetter"/>
      <w:lvlText w:val="%5."/>
      <w:lvlJc w:val="left"/>
      <w:pPr>
        <w:ind w:left="3600" w:hanging="360"/>
      </w:pPr>
    </w:lvl>
    <w:lvl w:ilvl="5" w:tplc="61B83424" w:tentative="1">
      <w:start w:val="1"/>
      <w:numFmt w:val="lowerRoman"/>
      <w:lvlText w:val="%6."/>
      <w:lvlJc w:val="right"/>
      <w:pPr>
        <w:ind w:left="4320" w:hanging="180"/>
      </w:pPr>
    </w:lvl>
    <w:lvl w:ilvl="6" w:tplc="C234B7F6" w:tentative="1">
      <w:start w:val="1"/>
      <w:numFmt w:val="decimal"/>
      <w:lvlText w:val="%7."/>
      <w:lvlJc w:val="left"/>
      <w:pPr>
        <w:ind w:left="5040" w:hanging="360"/>
      </w:pPr>
    </w:lvl>
    <w:lvl w:ilvl="7" w:tplc="DF346DCC" w:tentative="1">
      <w:start w:val="1"/>
      <w:numFmt w:val="lowerLetter"/>
      <w:lvlText w:val="%8."/>
      <w:lvlJc w:val="left"/>
      <w:pPr>
        <w:ind w:left="5760" w:hanging="360"/>
      </w:pPr>
    </w:lvl>
    <w:lvl w:ilvl="8" w:tplc="94C4BCF0" w:tentative="1">
      <w:start w:val="1"/>
      <w:numFmt w:val="lowerRoman"/>
      <w:lvlText w:val="%9."/>
      <w:lvlJc w:val="right"/>
      <w:pPr>
        <w:ind w:left="6480" w:hanging="180"/>
      </w:pPr>
    </w:lvl>
  </w:abstractNum>
  <w:abstractNum w:abstractNumId="1" w15:restartNumberingAfterBreak="0">
    <w:nsid w:val="598D3F30"/>
    <w:multiLevelType w:val="hybridMultilevel"/>
    <w:tmpl w:val="A252B01C"/>
    <w:lvl w:ilvl="0" w:tplc="1B025D50">
      <w:start w:val="1"/>
      <w:numFmt w:val="bullet"/>
      <w:lvlText w:val=""/>
      <w:lvlJc w:val="left"/>
      <w:pPr>
        <w:tabs>
          <w:tab w:val="num" w:pos="720"/>
        </w:tabs>
        <w:ind w:left="720" w:hanging="360"/>
      </w:pPr>
      <w:rPr>
        <w:rFonts w:ascii="Symbol" w:hAnsi="Symbol" w:hint="default"/>
      </w:rPr>
    </w:lvl>
    <w:lvl w:ilvl="1" w:tplc="359616A6" w:tentative="1">
      <w:start w:val="1"/>
      <w:numFmt w:val="bullet"/>
      <w:lvlText w:val="o"/>
      <w:lvlJc w:val="left"/>
      <w:pPr>
        <w:ind w:left="1440" w:hanging="360"/>
      </w:pPr>
      <w:rPr>
        <w:rFonts w:ascii="Courier New" w:hAnsi="Courier New" w:cs="Courier New" w:hint="default"/>
      </w:rPr>
    </w:lvl>
    <w:lvl w:ilvl="2" w:tplc="24CC26E0" w:tentative="1">
      <w:start w:val="1"/>
      <w:numFmt w:val="bullet"/>
      <w:lvlText w:val=""/>
      <w:lvlJc w:val="left"/>
      <w:pPr>
        <w:ind w:left="2160" w:hanging="360"/>
      </w:pPr>
      <w:rPr>
        <w:rFonts w:ascii="Wingdings" w:hAnsi="Wingdings" w:hint="default"/>
      </w:rPr>
    </w:lvl>
    <w:lvl w:ilvl="3" w:tplc="E5A46208" w:tentative="1">
      <w:start w:val="1"/>
      <w:numFmt w:val="bullet"/>
      <w:lvlText w:val=""/>
      <w:lvlJc w:val="left"/>
      <w:pPr>
        <w:ind w:left="2880" w:hanging="360"/>
      </w:pPr>
      <w:rPr>
        <w:rFonts w:ascii="Symbol" w:hAnsi="Symbol" w:hint="default"/>
      </w:rPr>
    </w:lvl>
    <w:lvl w:ilvl="4" w:tplc="44362E2E" w:tentative="1">
      <w:start w:val="1"/>
      <w:numFmt w:val="bullet"/>
      <w:lvlText w:val="o"/>
      <w:lvlJc w:val="left"/>
      <w:pPr>
        <w:ind w:left="3600" w:hanging="360"/>
      </w:pPr>
      <w:rPr>
        <w:rFonts w:ascii="Courier New" w:hAnsi="Courier New" w:cs="Courier New" w:hint="default"/>
      </w:rPr>
    </w:lvl>
    <w:lvl w:ilvl="5" w:tplc="1A22E2E6" w:tentative="1">
      <w:start w:val="1"/>
      <w:numFmt w:val="bullet"/>
      <w:lvlText w:val=""/>
      <w:lvlJc w:val="left"/>
      <w:pPr>
        <w:ind w:left="4320" w:hanging="360"/>
      </w:pPr>
      <w:rPr>
        <w:rFonts w:ascii="Wingdings" w:hAnsi="Wingdings" w:hint="default"/>
      </w:rPr>
    </w:lvl>
    <w:lvl w:ilvl="6" w:tplc="441424DC" w:tentative="1">
      <w:start w:val="1"/>
      <w:numFmt w:val="bullet"/>
      <w:lvlText w:val=""/>
      <w:lvlJc w:val="left"/>
      <w:pPr>
        <w:ind w:left="5040" w:hanging="360"/>
      </w:pPr>
      <w:rPr>
        <w:rFonts w:ascii="Symbol" w:hAnsi="Symbol" w:hint="default"/>
      </w:rPr>
    </w:lvl>
    <w:lvl w:ilvl="7" w:tplc="945E4E18" w:tentative="1">
      <w:start w:val="1"/>
      <w:numFmt w:val="bullet"/>
      <w:lvlText w:val="o"/>
      <w:lvlJc w:val="left"/>
      <w:pPr>
        <w:ind w:left="5760" w:hanging="360"/>
      </w:pPr>
      <w:rPr>
        <w:rFonts w:ascii="Courier New" w:hAnsi="Courier New" w:cs="Courier New" w:hint="default"/>
      </w:rPr>
    </w:lvl>
    <w:lvl w:ilvl="8" w:tplc="4022A320" w:tentative="1">
      <w:start w:val="1"/>
      <w:numFmt w:val="bullet"/>
      <w:lvlText w:val=""/>
      <w:lvlJc w:val="left"/>
      <w:pPr>
        <w:ind w:left="6480" w:hanging="360"/>
      </w:pPr>
      <w:rPr>
        <w:rFonts w:ascii="Wingdings" w:hAnsi="Wingdings" w:hint="default"/>
      </w:rPr>
    </w:lvl>
  </w:abstractNum>
  <w:abstractNum w:abstractNumId="2" w15:restartNumberingAfterBreak="0">
    <w:nsid w:val="6D80185B"/>
    <w:multiLevelType w:val="hybridMultilevel"/>
    <w:tmpl w:val="1F068486"/>
    <w:lvl w:ilvl="0" w:tplc="CA860D40">
      <w:start w:val="1"/>
      <w:numFmt w:val="bullet"/>
      <w:lvlText w:val=""/>
      <w:lvlJc w:val="left"/>
      <w:pPr>
        <w:tabs>
          <w:tab w:val="num" w:pos="720"/>
        </w:tabs>
        <w:ind w:left="720" w:hanging="360"/>
      </w:pPr>
      <w:rPr>
        <w:rFonts w:ascii="Symbol" w:hAnsi="Symbol" w:hint="default"/>
      </w:rPr>
    </w:lvl>
    <w:lvl w:ilvl="1" w:tplc="B2E8229C" w:tentative="1">
      <w:start w:val="1"/>
      <w:numFmt w:val="bullet"/>
      <w:lvlText w:val="o"/>
      <w:lvlJc w:val="left"/>
      <w:pPr>
        <w:ind w:left="1440" w:hanging="360"/>
      </w:pPr>
      <w:rPr>
        <w:rFonts w:ascii="Courier New" w:hAnsi="Courier New" w:cs="Courier New" w:hint="default"/>
      </w:rPr>
    </w:lvl>
    <w:lvl w:ilvl="2" w:tplc="FDF68564" w:tentative="1">
      <w:start w:val="1"/>
      <w:numFmt w:val="bullet"/>
      <w:lvlText w:val=""/>
      <w:lvlJc w:val="left"/>
      <w:pPr>
        <w:ind w:left="2160" w:hanging="360"/>
      </w:pPr>
      <w:rPr>
        <w:rFonts w:ascii="Wingdings" w:hAnsi="Wingdings" w:hint="default"/>
      </w:rPr>
    </w:lvl>
    <w:lvl w:ilvl="3" w:tplc="ADD2D366" w:tentative="1">
      <w:start w:val="1"/>
      <w:numFmt w:val="bullet"/>
      <w:lvlText w:val=""/>
      <w:lvlJc w:val="left"/>
      <w:pPr>
        <w:ind w:left="2880" w:hanging="360"/>
      </w:pPr>
      <w:rPr>
        <w:rFonts w:ascii="Symbol" w:hAnsi="Symbol" w:hint="default"/>
      </w:rPr>
    </w:lvl>
    <w:lvl w:ilvl="4" w:tplc="A4EA3578" w:tentative="1">
      <w:start w:val="1"/>
      <w:numFmt w:val="bullet"/>
      <w:lvlText w:val="o"/>
      <w:lvlJc w:val="left"/>
      <w:pPr>
        <w:ind w:left="3600" w:hanging="360"/>
      </w:pPr>
      <w:rPr>
        <w:rFonts w:ascii="Courier New" w:hAnsi="Courier New" w:cs="Courier New" w:hint="default"/>
      </w:rPr>
    </w:lvl>
    <w:lvl w:ilvl="5" w:tplc="C3B6B736" w:tentative="1">
      <w:start w:val="1"/>
      <w:numFmt w:val="bullet"/>
      <w:lvlText w:val=""/>
      <w:lvlJc w:val="left"/>
      <w:pPr>
        <w:ind w:left="4320" w:hanging="360"/>
      </w:pPr>
      <w:rPr>
        <w:rFonts w:ascii="Wingdings" w:hAnsi="Wingdings" w:hint="default"/>
      </w:rPr>
    </w:lvl>
    <w:lvl w:ilvl="6" w:tplc="2BD60CC0" w:tentative="1">
      <w:start w:val="1"/>
      <w:numFmt w:val="bullet"/>
      <w:lvlText w:val=""/>
      <w:lvlJc w:val="left"/>
      <w:pPr>
        <w:ind w:left="5040" w:hanging="360"/>
      </w:pPr>
      <w:rPr>
        <w:rFonts w:ascii="Symbol" w:hAnsi="Symbol" w:hint="default"/>
      </w:rPr>
    </w:lvl>
    <w:lvl w:ilvl="7" w:tplc="6F70BF54" w:tentative="1">
      <w:start w:val="1"/>
      <w:numFmt w:val="bullet"/>
      <w:lvlText w:val="o"/>
      <w:lvlJc w:val="left"/>
      <w:pPr>
        <w:ind w:left="5760" w:hanging="360"/>
      </w:pPr>
      <w:rPr>
        <w:rFonts w:ascii="Courier New" w:hAnsi="Courier New" w:cs="Courier New" w:hint="default"/>
      </w:rPr>
    </w:lvl>
    <w:lvl w:ilvl="8" w:tplc="98A09D90" w:tentative="1">
      <w:start w:val="1"/>
      <w:numFmt w:val="bullet"/>
      <w:lvlText w:val=""/>
      <w:lvlJc w:val="left"/>
      <w:pPr>
        <w:ind w:left="6480" w:hanging="360"/>
      </w:pPr>
      <w:rPr>
        <w:rFonts w:ascii="Wingdings" w:hAnsi="Wingdings" w:hint="default"/>
      </w:rPr>
    </w:lvl>
  </w:abstractNum>
  <w:num w:numId="1" w16cid:durableId="80106055">
    <w:abstractNumId w:val="2"/>
  </w:num>
  <w:num w:numId="2" w16cid:durableId="1785685114">
    <w:abstractNumId w:val="1"/>
  </w:num>
  <w:num w:numId="3" w16cid:durableId="2127118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6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59E"/>
    <w:rsid w:val="000400D5"/>
    <w:rsid w:val="00040ECF"/>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5A6B"/>
    <w:rsid w:val="00097AAF"/>
    <w:rsid w:val="00097D13"/>
    <w:rsid w:val="000A4893"/>
    <w:rsid w:val="000A54E0"/>
    <w:rsid w:val="000A72C4"/>
    <w:rsid w:val="000B0F30"/>
    <w:rsid w:val="000B1486"/>
    <w:rsid w:val="000B3E61"/>
    <w:rsid w:val="000B54AF"/>
    <w:rsid w:val="000B6090"/>
    <w:rsid w:val="000B6FEE"/>
    <w:rsid w:val="000C0E84"/>
    <w:rsid w:val="000C12C4"/>
    <w:rsid w:val="000C4800"/>
    <w:rsid w:val="000C49DA"/>
    <w:rsid w:val="000C4B3D"/>
    <w:rsid w:val="000C6DC1"/>
    <w:rsid w:val="000C6E20"/>
    <w:rsid w:val="000C76D7"/>
    <w:rsid w:val="000C7F1D"/>
    <w:rsid w:val="000D2EBA"/>
    <w:rsid w:val="000D32A1"/>
    <w:rsid w:val="000D3725"/>
    <w:rsid w:val="000D46E5"/>
    <w:rsid w:val="000D5819"/>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470"/>
    <w:rsid w:val="001A0739"/>
    <w:rsid w:val="001A0F00"/>
    <w:rsid w:val="001A2BDD"/>
    <w:rsid w:val="001A356A"/>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67D94"/>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ACB"/>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0BD4"/>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69DF"/>
    <w:rsid w:val="00474927"/>
    <w:rsid w:val="00475913"/>
    <w:rsid w:val="00480080"/>
    <w:rsid w:val="004824A7"/>
    <w:rsid w:val="00483AF0"/>
    <w:rsid w:val="00484167"/>
    <w:rsid w:val="004878DB"/>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0317"/>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89"/>
    <w:rsid w:val="004F64F6"/>
    <w:rsid w:val="004F69C0"/>
    <w:rsid w:val="00500121"/>
    <w:rsid w:val="005017AC"/>
    <w:rsid w:val="00501E8A"/>
    <w:rsid w:val="00505121"/>
    <w:rsid w:val="00505C04"/>
    <w:rsid w:val="00505F1B"/>
    <w:rsid w:val="005073E8"/>
    <w:rsid w:val="005076AE"/>
    <w:rsid w:val="00510503"/>
    <w:rsid w:val="0051324D"/>
    <w:rsid w:val="00515466"/>
    <w:rsid w:val="005154F7"/>
    <w:rsid w:val="005159DE"/>
    <w:rsid w:val="00524B43"/>
    <w:rsid w:val="005269CE"/>
    <w:rsid w:val="005304B2"/>
    <w:rsid w:val="005336BD"/>
    <w:rsid w:val="00534A49"/>
    <w:rsid w:val="00535C3A"/>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595"/>
    <w:rsid w:val="006106E9"/>
    <w:rsid w:val="0061159E"/>
    <w:rsid w:val="00614633"/>
    <w:rsid w:val="00614BC8"/>
    <w:rsid w:val="006151FB"/>
    <w:rsid w:val="00617411"/>
    <w:rsid w:val="006249B5"/>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5388"/>
    <w:rsid w:val="006E0CAC"/>
    <w:rsid w:val="006E1CFB"/>
    <w:rsid w:val="006E1F94"/>
    <w:rsid w:val="006E26C1"/>
    <w:rsid w:val="006E30A8"/>
    <w:rsid w:val="006E45B0"/>
    <w:rsid w:val="006E5692"/>
    <w:rsid w:val="006F365D"/>
    <w:rsid w:val="006F4BB0"/>
    <w:rsid w:val="007031BD"/>
    <w:rsid w:val="00703E80"/>
    <w:rsid w:val="00705276"/>
    <w:rsid w:val="007066A0"/>
    <w:rsid w:val="007075C7"/>
    <w:rsid w:val="007075FB"/>
    <w:rsid w:val="0070787B"/>
    <w:rsid w:val="00707A1C"/>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4B85"/>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3EE7"/>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91D"/>
    <w:rsid w:val="00827B7E"/>
    <w:rsid w:val="00830EEB"/>
    <w:rsid w:val="008347A9"/>
    <w:rsid w:val="00835628"/>
    <w:rsid w:val="00835E90"/>
    <w:rsid w:val="00836BBC"/>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3FF6"/>
    <w:rsid w:val="008947A7"/>
    <w:rsid w:val="00897E80"/>
    <w:rsid w:val="008A04FA"/>
    <w:rsid w:val="008A3188"/>
    <w:rsid w:val="008A3FDF"/>
    <w:rsid w:val="008A4261"/>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4A18"/>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4F31"/>
    <w:rsid w:val="00907780"/>
    <w:rsid w:val="00907EDD"/>
    <w:rsid w:val="009107AD"/>
    <w:rsid w:val="00915568"/>
    <w:rsid w:val="00917E0C"/>
    <w:rsid w:val="00920711"/>
    <w:rsid w:val="00921A1E"/>
    <w:rsid w:val="0092318F"/>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92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0B02"/>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3EC5"/>
    <w:rsid w:val="00A24AAD"/>
    <w:rsid w:val="00A26A8A"/>
    <w:rsid w:val="00A27255"/>
    <w:rsid w:val="00A32304"/>
    <w:rsid w:val="00A339C8"/>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10E0"/>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2CF8"/>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084D"/>
    <w:rsid w:val="00C119AC"/>
    <w:rsid w:val="00C14EE6"/>
    <w:rsid w:val="00C151DA"/>
    <w:rsid w:val="00C152A1"/>
    <w:rsid w:val="00C16CCB"/>
    <w:rsid w:val="00C2142B"/>
    <w:rsid w:val="00C220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2ED"/>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4F07"/>
    <w:rsid w:val="00CF4827"/>
    <w:rsid w:val="00CF4C69"/>
    <w:rsid w:val="00CF4EE1"/>
    <w:rsid w:val="00CF581C"/>
    <w:rsid w:val="00CF71E0"/>
    <w:rsid w:val="00D001B1"/>
    <w:rsid w:val="00D03176"/>
    <w:rsid w:val="00D060A8"/>
    <w:rsid w:val="00D06605"/>
    <w:rsid w:val="00D0720F"/>
    <w:rsid w:val="00D0746C"/>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78B"/>
    <w:rsid w:val="00D50D65"/>
    <w:rsid w:val="00D512E0"/>
    <w:rsid w:val="00D519F3"/>
    <w:rsid w:val="00D51D2A"/>
    <w:rsid w:val="00D53B7C"/>
    <w:rsid w:val="00D54346"/>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3EFA"/>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4E44"/>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68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7148"/>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26C"/>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EB6"/>
    <w:rsid w:val="00F6514B"/>
    <w:rsid w:val="00F6533E"/>
    <w:rsid w:val="00F6587F"/>
    <w:rsid w:val="00F67981"/>
    <w:rsid w:val="00F706CA"/>
    <w:rsid w:val="00F70F8D"/>
    <w:rsid w:val="00F71C5A"/>
    <w:rsid w:val="00F733A4"/>
    <w:rsid w:val="00F7758F"/>
    <w:rsid w:val="00F82811"/>
    <w:rsid w:val="00F831BA"/>
    <w:rsid w:val="00F83F8D"/>
    <w:rsid w:val="00F84153"/>
    <w:rsid w:val="00F85661"/>
    <w:rsid w:val="00F96602"/>
    <w:rsid w:val="00F9735A"/>
    <w:rsid w:val="00FA32FC"/>
    <w:rsid w:val="00FA59FD"/>
    <w:rsid w:val="00FA5D8C"/>
    <w:rsid w:val="00FA6403"/>
    <w:rsid w:val="00FB16CD"/>
    <w:rsid w:val="00FB28EF"/>
    <w:rsid w:val="00FB73AE"/>
    <w:rsid w:val="00FC5388"/>
    <w:rsid w:val="00FC726C"/>
    <w:rsid w:val="00FD1B4B"/>
    <w:rsid w:val="00FD1B94"/>
    <w:rsid w:val="00FE19C5"/>
    <w:rsid w:val="00FE4286"/>
    <w:rsid w:val="00FE48C3"/>
    <w:rsid w:val="00FE4FA8"/>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6A0AB5-9DEE-4727-A4C5-C9DA8980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A4261"/>
    <w:rPr>
      <w:sz w:val="16"/>
      <w:szCs w:val="16"/>
    </w:rPr>
  </w:style>
  <w:style w:type="paragraph" w:styleId="CommentText">
    <w:name w:val="annotation text"/>
    <w:basedOn w:val="Normal"/>
    <w:link w:val="CommentTextChar"/>
    <w:unhideWhenUsed/>
    <w:rsid w:val="008A4261"/>
    <w:rPr>
      <w:sz w:val="20"/>
      <w:szCs w:val="20"/>
    </w:rPr>
  </w:style>
  <w:style w:type="character" w:customStyle="1" w:styleId="CommentTextChar">
    <w:name w:val="Comment Text Char"/>
    <w:basedOn w:val="DefaultParagraphFont"/>
    <w:link w:val="CommentText"/>
    <w:rsid w:val="008A4261"/>
  </w:style>
  <w:style w:type="paragraph" w:styleId="CommentSubject">
    <w:name w:val="annotation subject"/>
    <w:basedOn w:val="CommentText"/>
    <w:next w:val="CommentText"/>
    <w:link w:val="CommentSubjectChar"/>
    <w:semiHidden/>
    <w:unhideWhenUsed/>
    <w:rsid w:val="008A4261"/>
    <w:rPr>
      <w:b/>
      <w:bCs/>
    </w:rPr>
  </w:style>
  <w:style w:type="character" w:customStyle="1" w:styleId="CommentSubjectChar">
    <w:name w:val="Comment Subject Char"/>
    <w:basedOn w:val="CommentTextChar"/>
    <w:link w:val="CommentSubject"/>
    <w:semiHidden/>
    <w:rsid w:val="008A4261"/>
    <w:rPr>
      <w:b/>
      <w:bCs/>
    </w:rPr>
  </w:style>
  <w:style w:type="paragraph" w:styleId="Revision">
    <w:name w:val="Revision"/>
    <w:hidden/>
    <w:uiPriority w:val="99"/>
    <w:semiHidden/>
    <w:rsid w:val="004878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4064</Characters>
  <Application>Microsoft Office Word</Application>
  <DocSecurity>0</DocSecurity>
  <Lines>85</Lines>
  <Paragraphs>26</Paragraphs>
  <ScaleCrop>false</ScaleCrop>
  <HeadingPairs>
    <vt:vector size="2" baseType="variant">
      <vt:variant>
        <vt:lpstr>Title</vt:lpstr>
      </vt:variant>
      <vt:variant>
        <vt:i4>1</vt:i4>
      </vt:variant>
    </vt:vector>
  </HeadingPairs>
  <TitlesOfParts>
    <vt:vector size="1" baseType="lpstr">
      <vt:lpstr>BA - HB04211 (Committee Report (Unamended))</vt:lpstr>
    </vt:vector>
  </TitlesOfParts>
  <Company>State of Texas</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28564</dc:subject>
  <dc:creator>State of Texas</dc:creator>
  <dc:description>HB 4211 by Noble-(H)State Affairs</dc:description>
  <cp:lastModifiedBy>Thomas Weis</cp:lastModifiedBy>
  <cp:revision>2</cp:revision>
  <cp:lastPrinted>2003-11-26T17:21:00Z</cp:lastPrinted>
  <dcterms:created xsi:type="dcterms:W3CDTF">2025-05-05T21:19:00Z</dcterms:created>
  <dcterms:modified xsi:type="dcterms:W3CDTF">2025-05-05T21:19:00Z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25.125.231</vt:lpwstr>
  </property>
</Properties>
</file>