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1D61" w:rsidRDefault="00DA1D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9509FBCD01F46DC846A512D958944E0"/>
          </w:placeholder>
        </w:sdtPr>
        <w:sdtContent>
          <w:r w:rsidRPr="005C2A78">
            <w:rPr>
              <w:rFonts w:cs="Times New Roman"/>
              <w:b/>
              <w:szCs w:val="24"/>
              <w:u w:val="single"/>
            </w:rPr>
            <w:t>BILL ANALYSIS</w:t>
          </w:r>
        </w:sdtContent>
      </w:sdt>
    </w:p>
    <w:p w:rsidR="00DA1D61" w:rsidRPr="00585C31" w:rsidRDefault="00DA1D61" w:rsidP="000F1DF9">
      <w:pPr>
        <w:spacing w:after="0" w:line="240" w:lineRule="auto"/>
        <w:rPr>
          <w:rFonts w:cs="Times New Roman"/>
          <w:szCs w:val="24"/>
        </w:rPr>
      </w:pPr>
    </w:p>
    <w:p w:rsidR="00DA1D61" w:rsidRPr="00585C31" w:rsidRDefault="00DA1D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A1D61" w:rsidTr="000F1DF9">
        <w:tc>
          <w:tcPr>
            <w:tcW w:w="2718" w:type="dxa"/>
          </w:tcPr>
          <w:p w:rsidR="00DA1D61" w:rsidRPr="005C2A78" w:rsidRDefault="00DA1D61" w:rsidP="006D756B">
            <w:pPr>
              <w:rPr>
                <w:rFonts w:cs="Times New Roman"/>
                <w:szCs w:val="24"/>
              </w:rPr>
            </w:pPr>
            <w:sdt>
              <w:sdtPr>
                <w:rPr>
                  <w:rFonts w:cs="Times New Roman"/>
                  <w:szCs w:val="24"/>
                </w:rPr>
                <w:alias w:val="Agency Title"/>
                <w:tag w:val="AgencyTitleContentControl"/>
                <w:id w:val="1920747753"/>
                <w:lock w:val="sdtContentLocked"/>
                <w:placeholder>
                  <w:docPart w:val="F74EF4A865D140508AE12BCCE999D8A2"/>
                </w:placeholder>
              </w:sdtPr>
              <w:sdtEndPr>
                <w:rPr>
                  <w:rFonts w:cstheme="minorBidi"/>
                  <w:szCs w:val="22"/>
                </w:rPr>
              </w:sdtEndPr>
              <w:sdtContent>
                <w:r>
                  <w:rPr>
                    <w:rFonts w:cs="Times New Roman"/>
                    <w:szCs w:val="24"/>
                  </w:rPr>
                  <w:t>Senate Research Center</w:t>
                </w:r>
              </w:sdtContent>
            </w:sdt>
          </w:p>
        </w:tc>
        <w:tc>
          <w:tcPr>
            <w:tcW w:w="6858" w:type="dxa"/>
          </w:tcPr>
          <w:p w:rsidR="00DA1D61" w:rsidRPr="00FF6471" w:rsidRDefault="00DA1D61" w:rsidP="000F1DF9">
            <w:pPr>
              <w:jc w:val="right"/>
              <w:rPr>
                <w:rFonts w:cs="Times New Roman"/>
                <w:szCs w:val="24"/>
              </w:rPr>
            </w:pPr>
            <w:sdt>
              <w:sdtPr>
                <w:rPr>
                  <w:rFonts w:cs="Times New Roman"/>
                  <w:szCs w:val="24"/>
                </w:rPr>
                <w:alias w:val="Bill Number"/>
                <w:tag w:val="BillNumberOne"/>
                <w:id w:val="-410784069"/>
                <w:lock w:val="sdtContentLocked"/>
                <w:placeholder>
                  <w:docPart w:val="158565355D8C47AFA5DFAAC4ABE46E7C"/>
                </w:placeholder>
              </w:sdtPr>
              <w:sdtContent>
                <w:r>
                  <w:rPr>
                    <w:rFonts w:cs="Times New Roman"/>
                    <w:szCs w:val="24"/>
                  </w:rPr>
                  <w:t>H.B. 4668</w:t>
                </w:r>
              </w:sdtContent>
            </w:sdt>
          </w:p>
        </w:tc>
      </w:tr>
      <w:tr w:rsidR="00DA1D61" w:rsidTr="000F1DF9">
        <w:sdt>
          <w:sdtPr>
            <w:rPr>
              <w:rFonts w:cs="Times New Roman"/>
              <w:szCs w:val="24"/>
            </w:rPr>
            <w:alias w:val="TLCNumber"/>
            <w:tag w:val="TLCNumber"/>
            <w:id w:val="-542600604"/>
            <w:lock w:val="sdtLocked"/>
            <w:placeholder>
              <w:docPart w:val="699088D631944034907EE2BBEC1ABF8F"/>
            </w:placeholder>
          </w:sdtPr>
          <w:sdtContent>
            <w:tc>
              <w:tcPr>
                <w:tcW w:w="2718" w:type="dxa"/>
              </w:tcPr>
              <w:p w:rsidR="00DA1D61" w:rsidRPr="000F1DF9" w:rsidRDefault="00DA1D61" w:rsidP="00C65088">
                <w:pPr>
                  <w:rPr>
                    <w:rFonts w:cs="Times New Roman"/>
                    <w:szCs w:val="24"/>
                  </w:rPr>
                </w:pPr>
                <w:r>
                  <w:rPr>
                    <w:rFonts w:cs="Times New Roman"/>
                    <w:szCs w:val="24"/>
                  </w:rPr>
                  <w:t>89R12076 ANG-F</w:t>
                </w:r>
              </w:p>
            </w:tc>
          </w:sdtContent>
        </w:sdt>
        <w:tc>
          <w:tcPr>
            <w:tcW w:w="6858" w:type="dxa"/>
          </w:tcPr>
          <w:p w:rsidR="00DA1D61" w:rsidRPr="005C2A78" w:rsidRDefault="00DA1D61" w:rsidP="00073EDD">
            <w:pPr>
              <w:jc w:val="right"/>
              <w:rPr>
                <w:rFonts w:cs="Times New Roman"/>
                <w:szCs w:val="24"/>
              </w:rPr>
            </w:pPr>
            <w:sdt>
              <w:sdtPr>
                <w:rPr>
                  <w:rFonts w:cs="Times New Roman"/>
                  <w:szCs w:val="24"/>
                </w:rPr>
                <w:alias w:val="Author Label"/>
                <w:tag w:val="By"/>
                <w:id w:val="72399597"/>
                <w:lock w:val="sdtLocked"/>
                <w:placeholder>
                  <w:docPart w:val="AF0C83DF9CBC4355A2F2395099B65FC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B5C2312AE5B499CBC9A1500EB85D6FF"/>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1CF9867A54C94131B7C2017F6C83BB9D"/>
                </w:placeholder>
              </w:sdtPr>
              <w:sdtContent>
                <w:r>
                  <w:rPr>
                    <w:rFonts w:cs="Times New Roman"/>
                    <w:szCs w:val="24"/>
                  </w:rPr>
                  <w:t xml:space="preserve"> (Schwertner)</w:t>
                </w:r>
              </w:sdtContent>
            </w:sdt>
            <w:sdt>
              <w:sdtPr>
                <w:rPr>
                  <w:rFonts w:cs="Times New Roman"/>
                  <w:szCs w:val="24"/>
                </w:rPr>
                <w:alias w:val="DualSponsor"/>
                <w:tag w:val="DualSponsor"/>
                <w:id w:val="1029379812"/>
                <w:lock w:val="sdtContentLocked"/>
                <w:placeholder>
                  <w:docPart w:val="D58B82075C0F4844AB16A8074FC9BAE0"/>
                </w:placeholder>
                <w:showingPlcHdr/>
              </w:sdtPr>
              <w:sdtContent/>
            </w:sdt>
          </w:p>
        </w:tc>
      </w:tr>
      <w:tr w:rsidR="00DA1D61" w:rsidTr="000F1DF9">
        <w:tc>
          <w:tcPr>
            <w:tcW w:w="2718" w:type="dxa"/>
          </w:tcPr>
          <w:p w:rsidR="00DA1D61" w:rsidRPr="00BC7495" w:rsidRDefault="00DA1D61" w:rsidP="000F1DF9">
            <w:pPr>
              <w:rPr>
                <w:rFonts w:cs="Times New Roman"/>
                <w:szCs w:val="24"/>
              </w:rPr>
            </w:pPr>
          </w:p>
        </w:tc>
        <w:sdt>
          <w:sdtPr>
            <w:rPr>
              <w:rFonts w:cs="Times New Roman"/>
              <w:szCs w:val="24"/>
            </w:rPr>
            <w:alias w:val="Committee"/>
            <w:tag w:val="Committee"/>
            <w:id w:val="1914272295"/>
            <w:lock w:val="sdtContentLocked"/>
            <w:placeholder>
              <w:docPart w:val="F3DA83222339469ABFB8FED32B3A992E"/>
            </w:placeholder>
          </w:sdtPr>
          <w:sdtContent>
            <w:tc>
              <w:tcPr>
                <w:tcW w:w="6858" w:type="dxa"/>
              </w:tcPr>
              <w:p w:rsidR="00DA1D61" w:rsidRPr="00FF6471" w:rsidRDefault="00DA1D61" w:rsidP="000F1DF9">
                <w:pPr>
                  <w:jc w:val="right"/>
                  <w:rPr>
                    <w:rFonts w:cs="Times New Roman"/>
                    <w:szCs w:val="24"/>
                  </w:rPr>
                </w:pPr>
                <w:r>
                  <w:rPr>
                    <w:rFonts w:cs="Times New Roman"/>
                    <w:szCs w:val="24"/>
                  </w:rPr>
                  <w:t>Business &amp; Commerce</w:t>
                </w:r>
              </w:p>
            </w:tc>
          </w:sdtContent>
        </w:sdt>
      </w:tr>
      <w:tr w:rsidR="00DA1D61" w:rsidTr="000F1DF9">
        <w:tc>
          <w:tcPr>
            <w:tcW w:w="2718" w:type="dxa"/>
          </w:tcPr>
          <w:p w:rsidR="00DA1D61" w:rsidRPr="00BC7495" w:rsidRDefault="00DA1D61" w:rsidP="000F1DF9">
            <w:pPr>
              <w:rPr>
                <w:rFonts w:cs="Times New Roman"/>
                <w:szCs w:val="24"/>
              </w:rPr>
            </w:pPr>
          </w:p>
        </w:tc>
        <w:sdt>
          <w:sdtPr>
            <w:rPr>
              <w:rFonts w:cs="Times New Roman"/>
              <w:szCs w:val="24"/>
            </w:rPr>
            <w:alias w:val="Date"/>
            <w:tag w:val="DateContentControl"/>
            <w:id w:val="1178081906"/>
            <w:lock w:val="sdtLocked"/>
            <w:placeholder>
              <w:docPart w:val="D9282F3B53584A279B091AA90C652CC4"/>
            </w:placeholder>
            <w:date w:fullDate="2025-05-19T00:00:00Z">
              <w:dateFormat w:val="M/d/yyyy"/>
              <w:lid w:val="en-US"/>
              <w:storeMappedDataAs w:val="dateTime"/>
              <w:calendar w:val="gregorian"/>
            </w:date>
          </w:sdtPr>
          <w:sdtContent>
            <w:tc>
              <w:tcPr>
                <w:tcW w:w="6858" w:type="dxa"/>
              </w:tcPr>
              <w:p w:rsidR="00DA1D61" w:rsidRPr="00FF6471" w:rsidRDefault="00DA1D61" w:rsidP="000F1DF9">
                <w:pPr>
                  <w:jc w:val="right"/>
                  <w:rPr>
                    <w:rFonts w:cs="Times New Roman"/>
                    <w:szCs w:val="24"/>
                  </w:rPr>
                </w:pPr>
                <w:r>
                  <w:rPr>
                    <w:rFonts w:cs="Times New Roman"/>
                    <w:szCs w:val="24"/>
                  </w:rPr>
                  <w:t>5/19/2025</w:t>
                </w:r>
              </w:p>
            </w:tc>
          </w:sdtContent>
        </w:sdt>
      </w:tr>
      <w:tr w:rsidR="00DA1D61" w:rsidTr="000F1DF9">
        <w:tc>
          <w:tcPr>
            <w:tcW w:w="2718" w:type="dxa"/>
          </w:tcPr>
          <w:p w:rsidR="00DA1D61" w:rsidRPr="00BC7495" w:rsidRDefault="00DA1D61" w:rsidP="000F1DF9">
            <w:pPr>
              <w:rPr>
                <w:rFonts w:cs="Times New Roman"/>
                <w:szCs w:val="24"/>
              </w:rPr>
            </w:pPr>
          </w:p>
        </w:tc>
        <w:sdt>
          <w:sdtPr>
            <w:rPr>
              <w:rFonts w:cs="Times New Roman"/>
              <w:szCs w:val="24"/>
            </w:rPr>
            <w:alias w:val="BA Version"/>
            <w:tag w:val="BAVersion"/>
            <w:id w:val="-1685590809"/>
            <w:lock w:val="sdtContentLocked"/>
            <w:placeholder>
              <w:docPart w:val="04AB732A3A454656BDB165AF4FFA2C34"/>
            </w:placeholder>
          </w:sdtPr>
          <w:sdtContent>
            <w:tc>
              <w:tcPr>
                <w:tcW w:w="6858" w:type="dxa"/>
              </w:tcPr>
              <w:p w:rsidR="00DA1D61" w:rsidRPr="00FF6471" w:rsidRDefault="00DA1D61" w:rsidP="000F1DF9">
                <w:pPr>
                  <w:jc w:val="right"/>
                  <w:rPr>
                    <w:rFonts w:cs="Times New Roman"/>
                    <w:szCs w:val="24"/>
                  </w:rPr>
                </w:pPr>
                <w:r>
                  <w:rPr>
                    <w:rFonts w:cs="Times New Roman"/>
                    <w:szCs w:val="24"/>
                  </w:rPr>
                  <w:t>Engrossed</w:t>
                </w:r>
              </w:p>
            </w:tc>
          </w:sdtContent>
        </w:sdt>
      </w:tr>
    </w:tbl>
    <w:p w:rsidR="00DA1D61" w:rsidRPr="00FF6471" w:rsidRDefault="00DA1D61" w:rsidP="000F1DF9">
      <w:pPr>
        <w:spacing w:after="0" w:line="240" w:lineRule="auto"/>
        <w:rPr>
          <w:rFonts w:cs="Times New Roman"/>
          <w:szCs w:val="24"/>
        </w:rPr>
      </w:pPr>
    </w:p>
    <w:p w:rsidR="00DA1D61" w:rsidRPr="00FF6471" w:rsidRDefault="00DA1D61" w:rsidP="000F1DF9">
      <w:pPr>
        <w:spacing w:after="0" w:line="240" w:lineRule="auto"/>
        <w:rPr>
          <w:rFonts w:cs="Times New Roman"/>
          <w:szCs w:val="24"/>
        </w:rPr>
      </w:pPr>
    </w:p>
    <w:p w:rsidR="00DA1D61" w:rsidRPr="00FF6471" w:rsidRDefault="00DA1D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D6AC8BCC7B9431C9CFD8FB3BED52222"/>
        </w:placeholder>
      </w:sdtPr>
      <w:sdtContent>
        <w:p w:rsidR="00DA1D61" w:rsidRDefault="00DA1D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CE31166B0A44EC88477AEC631C9A7EC"/>
        </w:placeholder>
      </w:sdtPr>
      <w:sdtContent>
        <w:p w:rsidR="00DA1D61" w:rsidRDefault="00DA1D61" w:rsidP="00DA1D61">
          <w:pPr>
            <w:pStyle w:val="NormalWeb"/>
            <w:spacing w:before="0" w:beforeAutospacing="0" w:after="0" w:afterAutospacing="0"/>
            <w:jc w:val="both"/>
            <w:divId w:val="1639189833"/>
            <w:rPr>
              <w:rFonts w:eastAsia="Times New Roman"/>
              <w:bCs/>
            </w:rPr>
          </w:pPr>
        </w:p>
        <w:p w:rsidR="00DA1D61" w:rsidRPr="00666248" w:rsidRDefault="00DA1D61" w:rsidP="00DA1D61">
          <w:pPr>
            <w:pStyle w:val="NormalWeb"/>
            <w:spacing w:before="0" w:beforeAutospacing="0" w:after="0" w:afterAutospacing="0"/>
            <w:jc w:val="both"/>
            <w:divId w:val="1639189833"/>
          </w:pPr>
          <w:r w:rsidRPr="00666248">
            <w:t>On September 1, 2023, a statute expired that had authorized the Public Utility Commission (PUC) to retain outside experts to represent the agency in a proceeding before a regional transmission organizatio</w:t>
          </w:r>
          <w:r>
            <w:t>n</w:t>
          </w:r>
          <w:r w:rsidRPr="00666248">
            <w:t xml:space="preserve"> or before a court reviewing proceedings of a regional transmission organization. The expiration of this authority was not timely identified.</w:t>
          </w:r>
        </w:p>
        <w:p w:rsidR="00DA1D61" w:rsidRPr="00666248" w:rsidRDefault="00DA1D61" w:rsidP="00DA1D61">
          <w:pPr>
            <w:pStyle w:val="NormalWeb"/>
            <w:spacing w:before="0" w:beforeAutospacing="0" w:after="0" w:afterAutospacing="0"/>
            <w:jc w:val="both"/>
            <w:divId w:val="1639189833"/>
          </w:pPr>
          <w:r w:rsidRPr="00666248">
            <w:t> </w:t>
          </w:r>
        </w:p>
        <w:p w:rsidR="00DA1D61" w:rsidRPr="00666248" w:rsidRDefault="00DA1D61" w:rsidP="00DA1D61">
          <w:pPr>
            <w:pStyle w:val="NormalWeb"/>
            <w:spacing w:before="0" w:beforeAutospacing="0" w:after="0" w:afterAutospacing="0"/>
            <w:jc w:val="both"/>
            <w:divId w:val="1639189833"/>
          </w:pPr>
          <w:r>
            <w:t xml:space="preserve">H.B. </w:t>
          </w:r>
          <w:r w:rsidRPr="00666248">
            <w:t>4668 would reinstate Utilities Code Section 39.004 to ensure the PUC has the resources it needs to effectively represent Texas</w:t>
          </w:r>
          <w:r>
            <w:t>'</w:t>
          </w:r>
          <w:r w:rsidRPr="00666248">
            <w:t xml:space="preserve"> interests in complex regional matters</w:t>
          </w:r>
          <w:r>
            <w:t xml:space="preserve"> </w:t>
          </w:r>
          <w:r w:rsidRPr="00666248">
            <w:t>while maintaining transparency and protecting consumers from excessive charges.</w:t>
          </w:r>
        </w:p>
        <w:p w:rsidR="00DA1D61" w:rsidRPr="00666248" w:rsidRDefault="00DA1D61" w:rsidP="00DA1D61">
          <w:pPr>
            <w:pStyle w:val="NormalWeb"/>
            <w:spacing w:before="0" w:beforeAutospacing="0" w:after="0" w:afterAutospacing="0"/>
            <w:jc w:val="both"/>
            <w:divId w:val="1639189833"/>
          </w:pPr>
          <w:r w:rsidRPr="00666248">
            <w:t> </w:t>
          </w:r>
        </w:p>
        <w:p w:rsidR="00DA1D61" w:rsidRPr="00666248" w:rsidRDefault="00DA1D61" w:rsidP="00DA1D61">
          <w:pPr>
            <w:pStyle w:val="NormalWeb"/>
            <w:spacing w:before="0" w:beforeAutospacing="0" w:after="0" w:afterAutospacing="0"/>
            <w:jc w:val="both"/>
            <w:divId w:val="1639189833"/>
          </w:pPr>
          <w:r w:rsidRPr="00666248">
            <w:t xml:space="preserve">Specifically, </w:t>
          </w:r>
          <w:r>
            <w:t xml:space="preserve">H.B. </w:t>
          </w:r>
          <w:r w:rsidRPr="00666248">
            <w:t>4668 would authorize the PUC to retain any necessary consultant, accountant, auditor, engineer, or attorney to represent the PUC in a proceeding before a regional transmission organization, or before a court reviewing a proceeding of such an organization, in matters involving an electric utility</w:t>
          </w:r>
          <w:r>
            <w:t>'</w:t>
          </w:r>
          <w:r w:rsidRPr="00666248">
            <w:t>s interactions with certain regional grid operators, agreements concerning coordination of the operations of a utility and its affiliates, or other issues that may impact rates paid by retail customers in Texas.</w:t>
          </w:r>
        </w:p>
        <w:p w:rsidR="00DA1D61" w:rsidRPr="00666248" w:rsidRDefault="00DA1D61" w:rsidP="00DA1D61">
          <w:pPr>
            <w:pStyle w:val="NormalWeb"/>
            <w:spacing w:before="0" w:beforeAutospacing="0" w:after="0" w:afterAutospacing="0"/>
            <w:jc w:val="both"/>
            <w:divId w:val="1639189833"/>
          </w:pPr>
          <w:r w:rsidRPr="00666248">
            <w:t> </w:t>
          </w:r>
        </w:p>
        <w:p w:rsidR="00DA1D61" w:rsidRPr="00666248" w:rsidRDefault="00DA1D61" w:rsidP="00DA1D61">
          <w:pPr>
            <w:pStyle w:val="NormalWeb"/>
            <w:spacing w:before="0" w:beforeAutospacing="0" w:after="0" w:afterAutospacing="0"/>
            <w:jc w:val="both"/>
            <w:divId w:val="1639189833"/>
          </w:pPr>
          <w:r>
            <w:t xml:space="preserve">H.B. </w:t>
          </w:r>
          <w:r w:rsidRPr="00666248">
            <w:t>4668 would restore the statute describing the purposes for which the PUC may retain assistance. The bill also reinstates the provisions requiring an electric utility that was the subject of the proceeding to pay reasonable service costs in a timely manner, as determined by the PUC, up to a maximum of $1.5 million per year. The PUC would be required to allow the electric utility to recover its approved costs and carrying charges through a rider established annually, based on amounts incurred in the prior year, with the rider being reviewed and approved by the PUC.</w:t>
          </w:r>
        </w:p>
        <w:p w:rsidR="00DA1D61" w:rsidRPr="00666248" w:rsidRDefault="00DA1D61" w:rsidP="00DA1D61">
          <w:pPr>
            <w:pStyle w:val="NormalWeb"/>
            <w:spacing w:before="0" w:beforeAutospacing="0" w:after="0" w:afterAutospacing="0"/>
            <w:jc w:val="both"/>
            <w:divId w:val="1639189833"/>
          </w:pPr>
          <w:r w:rsidRPr="00666248">
            <w:t> </w:t>
          </w:r>
        </w:p>
        <w:p w:rsidR="00DA1D61" w:rsidRPr="00666248" w:rsidRDefault="00DA1D61" w:rsidP="00DA1D61">
          <w:pPr>
            <w:pStyle w:val="NormalWeb"/>
            <w:spacing w:before="0" w:beforeAutospacing="0" w:after="0" w:afterAutospacing="0"/>
            <w:jc w:val="both"/>
            <w:divId w:val="1639189833"/>
          </w:pPr>
          <w:r>
            <w:t xml:space="preserve">H.B. </w:t>
          </w:r>
          <w:r w:rsidRPr="00666248">
            <w:t>4668 also restores the statute requiring the PUC to consult the attorney general before hiring certain experts and obtain the attorney general</w:t>
          </w:r>
          <w:r>
            <w:t>'</w:t>
          </w:r>
          <w:r w:rsidRPr="00666248">
            <w:t>s approval to retain an attorney. The PUC could not engage any individual required to register as a lobbyist with the Texas Ethics Commission.</w:t>
          </w:r>
        </w:p>
        <w:p w:rsidR="00DA1D61" w:rsidRPr="00D70925" w:rsidRDefault="00DA1D61" w:rsidP="00DA1D61">
          <w:pPr>
            <w:spacing w:after="0" w:line="240" w:lineRule="auto"/>
            <w:jc w:val="both"/>
            <w:rPr>
              <w:rFonts w:eastAsia="Times New Roman" w:cs="Times New Roman"/>
              <w:bCs/>
              <w:szCs w:val="24"/>
            </w:rPr>
          </w:pPr>
        </w:p>
      </w:sdtContent>
    </w:sdt>
    <w:p w:rsidR="00DA1D61" w:rsidRDefault="00DA1D61" w:rsidP="007130B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4668 </w:t>
      </w:r>
      <w:bookmarkStart w:id="1" w:name="AmendsCurrentLaw"/>
      <w:bookmarkEnd w:id="1"/>
      <w:r>
        <w:rPr>
          <w:rFonts w:cs="Times New Roman"/>
          <w:szCs w:val="24"/>
        </w:rPr>
        <w:t>amends current law relating to the authority of the Public Utility Commission of Texas to retain assistance for regional proceedings affecting certain electric utilities and consumers.</w:t>
      </w:r>
    </w:p>
    <w:p w:rsidR="00DA1D61" w:rsidRPr="00A9077A" w:rsidRDefault="00DA1D61" w:rsidP="007130B0">
      <w:pPr>
        <w:spacing w:after="0" w:line="240" w:lineRule="auto"/>
        <w:jc w:val="both"/>
        <w:rPr>
          <w:rFonts w:eastAsia="Times New Roman" w:cs="Times New Roman"/>
          <w:szCs w:val="24"/>
        </w:rPr>
      </w:pPr>
    </w:p>
    <w:p w:rsidR="00DA1D61" w:rsidRPr="005C2A78" w:rsidRDefault="00DA1D61" w:rsidP="007130B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B3EB49C7F1C43BA88A06D8117B8F828"/>
          </w:placeholder>
        </w:sdtPr>
        <w:sdtContent>
          <w:r>
            <w:rPr>
              <w:rFonts w:eastAsia="Times New Roman" w:cs="Times New Roman"/>
              <w:b/>
              <w:szCs w:val="24"/>
              <w:u w:val="single"/>
            </w:rPr>
            <w:t>RULEMAKING AUTHORITY</w:t>
          </w:r>
        </w:sdtContent>
      </w:sdt>
    </w:p>
    <w:p w:rsidR="00DA1D61" w:rsidRPr="006529C4" w:rsidRDefault="00DA1D61" w:rsidP="007130B0">
      <w:pPr>
        <w:spacing w:after="0" w:line="240" w:lineRule="auto"/>
        <w:jc w:val="both"/>
        <w:rPr>
          <w:rFonts w:cs="Times New Roman"/>
          <w:szCs w:val="24"/>
        </w:rPr>
      </w:pPr>
    </w:p>
    <w:p w:rsidR="00DA1D61" w:rsidRPr="006529C4" w:rsidRDefault="00DA1D61" w:rsidP="007130B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A1D61" w:rsidRPr="006529C4" w:rsidRDefault="00DA1D61" w:rsidP="007130B0">
      <w:pPr>
        <w:spacing w:after="0" w:line="240" w:lineRule="auto"/>
        <w:jc w:val="both"/>
        <w:rPr>
          <w:rFonts w:cs="Times New Roman"/>
          <w:szCs w:val="24"/>
        </w:rPr>
      </w:pPr>
    </w:p>
    <w:p w:rsidR="00DA1D61" w:rsidRPr="005C2A78" w:rsidRDefault="00DA1D61" w:rsidP="007130B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4037E517C941E4A244EE0A4A1DF995"/>
          </w:placeholder>
        </w:sdtPr>
        <w:sdtContent>
          <w:r>
            <w:rPr>
              <w:rFonts w:eastAsia="Times New Roman" w:cs="Times New Roman"/>
              <w:b/>
              <w:szCs w:val="24"/>
              <w:u w:val="single"/>
            </w:rPr>
            <w:t>SECTION BY SECTION ANALYSIS</w:t>
          </w:r>
        </w:sdtContent>
      </w:sdt>
    </w:p>
    <w:p w:rsidR="00DA1D61" w:rsidRPr="005C2A78" w:rsidRDefault="00DA1D61" w:rsidP="007130B0">
      <w:pPr>
        <w:spacing w:after="0" w:line="240" w:lineRule="auto"/>
        <w:jc w:val="both"/>
        <w:rPr>
          <w:rFonts w:eastAsia="Times New Roman" w:cs="Times New Roman"/>
          <w:szCs w:val="24"/>
        </w:rPr>
      </w:pPr>
    </w:p>
    <w:p w:rsidR="00DA1D61" w:rsidRDefault="00DA1D61" w:rsidP="007130B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39, Utilities Code, by adding Section 39.004, as follows:</w:t>
      </w:r>
    </w:p>
    <w:p w:rsidR="00DA1D61" w:rsidRDefault="00DA1D61" w:rsidP="007130B0">
      <w:pPr>
        <w:spacing w:after="0" w:line="240" w:lineRule="auto"/>
        <w:jc w:val="both"/>
        <w:rPr>
          <w:rFonts w:eastAsia="Times New Roman" w:cs="Times New Roman"/>
          <w:szCs w:val="24"/>
        </w:rPr>
      </w:pPr>
    </w:p>
    <w:p w:rsidR="00DA1D61" w:rsidRDefault="00DA1D61" w:rsidP="007130B0">
      <w:pPr>
        <w:spacing w:after="0" w:line="240" w:lineRule="auto"/>
        <w:ind w:left="720"/>
        <w:jc w:val="both"/>
        <w:rPr>
          <w:rFonts w:eastAsia="Times New Roman" w:cs="Times New Roman"/>
          <w:szCs w:val="24"/>
        </w:rPr>
      </w:pPr>
      <w:r>
        <w:rPr>
          <w:rFonts w:eastAsia="Times New Roman" w:cs="Times New Roman"/>
          <w:szCs w:val="24"/>
        </w:rPr>
        <w:t>Sec. 39.004. HIRING ASSISTANCE FOR REGIONAL PROCEEDINGS. (a) Authorizes</w:t>
      </w:r>
      <w:r w:rsidRPr="00A9077A">
        <w:rPr>
          <w:rFonts w:cs="Times New Roman"/>
          <w:szCs w:val="24"/>
        </w:rPr>
        <w:t xml:space="preserve"> </w:t>
      </w:r>
      <w:r>
        <w:rPr>
          <w:rFonts w:cs="Times New Roman"/>
          <w:szCs w:val="24"/>
        </w:rPr>
        <w:t>the Public Utility Commission of Texas (PUC)</w:t>
      </w:r>
      <w:r>
        <w:rPr>
          <w:rFonts w:eastAsia="Times New Roman" w:cs="Times New Roman"/>
          <w:szCs w:val="24"/>
        </w:rPr>
        <w:t xml:space="preserve"> to retain </w:t>
      </w:r>
      <w:r w:rsidRPr="00A9077A">
        <w:rPr>
          <w:rFonts w:eastAsia="Times New Roman" w:cs="Times New Roman"/>
          <w:szCs w:val="24"/>
        </w:rPr>
        <w:t xml:space="preserve">any consultant, accountant, auditor, engineer, or attorney the </w:t>
      </w:r>
      <w:r>
        <w:rPr>
          <w:rFonts w:eastAsia="Times New Roman" w:cs="Times New Roman"/>
          <w:szCs w:val="24"/>
        </w:rPr>
        <w:t xml:space="preserve">PUC </w:t>
      </w:r>
      <w:r w:rsidRPr="00A9077A">
        <w:rPr>
          <w:rFonts w:eastAsia="Times New Roman" w:cs="Times New Roman"/>
          <w:szCs w:val="24"/>
        </w:rPr>
        <w:t xml:space="preserve">considers necessary to represent the </w:t>
      </w:r>
      <w:r>
        <w:rPr>
          <w:rFonts w:eastAsia="Times New Roman" w:cs="Times New Roman"/>
          <w:szCs w:val="24"/>
        </w:rPr>
        <w:t xml:space="preserve">PUC </w:t>
      </w:r>
      <w:r w:rsidRPr="00A9077A">
        <w:rPr>
          <w:rFonts w:eastAsia="Times New Roman" w:cs="Times New Roman"/>
          <w:szCs w:val="24"/>
        </w:rPr>
        <w:t>in a proceeding before a regional transmission organization, or before a court reviewing proceedings of a regional transmission organization, related to</w:t>
      </w:r>
      <w:r>
        <w:rPr>
          <w:rFonts w:eastAsia="Times New Roman" w:cs="Times New Roman"/>
          <w:szCs w:val="24"/>
        </w:rPr>
        <w:t xml:space="preserve"> certain matters related to an electric utility.</w:t>
      </w:r>
    </w:p>
    <w:p w:rsidR="00DA1D61" w:rsidRDefault="00DA1D61" w:rsidP="007130B0">
      <w:pPr>
        <w:spacing w:after="0" w:line="240" w:lineRule="auto"/>
        <w:ind w:left="2160"/>
        <w:jc w:val="both"/>
        <w:rPr>
          <w:rFonts w:eastAsia="Times New Roman" w:cs="Times New Roman"/>
          <w:szCs w:val="24"/>
        </w:rPr>
      </w:pPr>
    </w:p>
    <w:p w:rsidR="00DA1D61" w:rsidRDefault="00DA1D61" w:rsidP="007130B0">
      <w:pPr>
        <w:spacing w:after="0" w:line="240" w:lineRule="auto"/>
        <w:ind w:left="1440"/>
        <w:jc w:val="both"/>
        <w:rPr>
          <w:rFonts w:eastAsia="Times New Roman" w:cs="Times New Roman"/>
          <w:szCs w:val="24"/>
        </w:rPr>
      </w:pPr>
      <w:r>
        <w:rPr>
          <w:rFonts w:eastAsia="Times New Roman" w:cs="Times New Roman"/>
          <w:szCs w:val="24"/>
        </w:rPr>
        <w:t xml:space="preserve">(b) Authorizes assistance for </w:t>
      </w:r>
      <w:r w:rsidRPr="00A9077A">
        <w:rPr>
          <w:rFonts w:eastAsia="Times New Roman" w:cs="Times New Roman"/>
          <w:szCs w:val="24"/>
        </w:rPr>
        <w:t>which a consultant, accountant, auditor,</w:t>
      </w:r>
      <w:r w:rsidRPr="00A9077A">
        <w:t xml:space="preserve"> </w:t>
      </w:r>
      <w:r w:rsidRPr="00A9077A">
        <w:rPr>
          <w:rFonts w:eastAsia="Times New Roman" w:cs="Times New Roman"/>
          <w:szCs w:val="24"/>
        </w:rPr>
        <w:t>engineer, or attorney</w:t>
      </w:r>
      <w:r>
        <w:rPr>
          <w:rFonts w:eastAsia="Times New Roman" w:cs="Times New Roman"/>
          <w:szCs w:val="24"/>
        </w:rPr>
        <w:t xml:space="preserve"> may </w:t>
      </w:r>
      <w:r w:rsidRPr="00A9077A">
        <w:rPr>
          <w:rFonts w:eastAsia="Times New Roman" w:cs="Times New Roman"/>
          <w:szCs w:val="24"/>
        </w:rPr>
        <w:t xml:space="preserve">be retained under Subsection (a) </w:t>
      </w:r>
      <w:r>
        <w:rPr>
          <w:rFonts w:eastAsia="Times New Roman" w:cs="Times New Roman"/>
          <w:szCs w:val="24"/>
        </w:rPr>
        <w:t>to</w:t>
      </w:r>
      <w:r w:rsidRPr="00A9077A">
        <w:rPr>
          <w:rFonts w:eastAsia="Times New Roman" w:cs="Times New Roman"/>
          <w:szCs w:val="24"/>
        </w:rPr>
        <w:t xml:space="preserve"> include</w:t>
      </w:r>
      <w:r>
        <w:rPr>
          <w:rFonts w:eastAsia="Times New Roman" w:cs="Times New Roman"/>
          <w:szCs w:val="24"/>
        </w:rPr>
        <w:t xml:space="preserve"> </w:t>
      </w:r>
      <w:r w:rsidRPr="00A9077A">
        <w:rPr>
          <w:rFonts w:eastAsia="Times New Roman" w:cs="Times New Roman"/>
          <w:szCs w:val="24"/>
        </w:rPr>
        <w:t>conducting a stud</w:t>
      </w:r>
      <w:r>
        <w:rPr>
          <w:rFonts w:eastAsia="Times New Roman" w:cs="Times New Roman"/>
          <w:szCs w:val="24"/>
        </w:rPr>
        <w:t xml:space="preserve">y, </w:t>
      </w:r>
      <w:r w:rsidRPr="00A9077A">
        <w:rPr>
          <w:rFonts w:eastAsia="Times New Roman" w:cs="Times New Roman"/>
          <w:szCs w:val="24"/>
        </w:rPr>
        <w:t>conducting an investigation</w:t>
      </w:r>
      <w:r>
        <w:rPr>
          <w:rFonts w:eastAsia="Times New Roman" w:cs="Times New Roman"/>
          <w:szCs w:val="24"/>
        </w:rPr>
        <w:t xml:space="preserve">, </w:t>
      </w:r>
      <w:r w:rsidRPr="00A9077A">
        <w:rPr>
          <w:rFonts w:eastAsia="Times New Roman" w:cs="Times New Roman"/>
          <w:szCs w:val="24"/>
        </w:rPr>
        <w:t>presenting evidence</w:t>
      </w:r>
      <w:r>
        <w:rPr>
          <w:rFonts w:eastAsia="Times New Roman" w:cs="Times New Roman"/>
          <w:szCs w:val="24"/>
        </w:rPr>
        <w:t xml:space="preserve">, </w:t>
      </w:r>
      <w:r w:rsidRPr="00A9077A">
        <w:rPr>
          <w:rFonts w:eastAsia="Times New Roman" w:cs="Times New Roman"/>
          <w:szCs w:val="24"/>
        </w:rPr>
        <w:t xml:space="preserve">advising the </w:t>
      </w:r>
      <w:r>
        <w:rPr>
          <w:rFonts w:eastAsia="Times New Roman" w:cs="Times New Roman"/>
          <w:szCs w:val="24"/>
        </w:rPr>
        <w:t>PUC,</w:t>
      </w:r>
      <w:r w:rsidRPr="00A9077A">
        <w:rPr>
          <w:rFonts w:eastAsia="Times New Roman" w:cs="Times New Roman"/>
          <w:szCs w:val="24"/>
        </w:rPr>
        <w:t xml:space="preserve"> or</w:t>
      </w:r>
      <w:r>
        <w:rPr>
          <w:rFonts w:eastAsia="Times New Roman" w:cs="Times New Roman"/>
          <w:szCs w:val="24"/>
        </w:rPr>
        <w:t xml:space="preserve"> </w:t>
      </w:r>
      <w:r w:rsidRPr="00A9077A">
        <w:rPr>
          <w:rFonts w:eastAsia="Times New Roman" w:cs="Times New Roman"/>
          <w:szCs w:val="24"/>
        </w:rPr>
        <w:t xml:space="preserve">representing the </w:t>
      </w:r>
      <w:r>
        <w:rPr>
          <w:rFonts w:eastAsia="Times New Roman" w:cs="Times New Roman"/>
          <w:szCs w:val="24"/>
        </w:rPr>
        <w:t>PUC</w:t>
      </w:r>
      <w:r w:rsidRPr="00A9077A">
        <w:rPr>
          <w:rFonts w:eastAsia="Times New Roman" w:cs="Times New Roman"/>
          <w:szCs w:val="24"/>
        </w:rPr>
        <w:t>.</w:t>
      </w:r>
    </w:p>
    <w:p w:rsidR="00DA1D61" w:rsidRDefault="00DA1D61" w:rsidP="007130B0">
      <w:pPr>
        <w:spacing w:after="0" w:line="240" w:lineRule="auto"/>
        <w:ind w:left="1440"/>
        <w:jc w:val="both"/>
        <w:rPr>
          <w:rFonts w:eastAsia="Times New Roman" w:cs="Times New Roman"/>
          <w:szCs w:val="24"/>
        </w:rPr>
      </w:pPr>
    </w:p>
    <w:p w:rsidR="00DA1D61" w:rsidRDefault="00DA1D61" w:rsidP="007130B0">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A9077A">
        <w:rPr>
          <w:rFonts w:eastAsia="Times New Roman" w:cs="Times New Roman"/>
          <w:szCs w:val="24"/>
        </w:rPr>
        <w:t>electric utility that is the subject of the proceeding</w:t>
      </w:r>
      <w:r>
        <w:rPr>
          <w:rFonts w:eastAsia="Times New Roman" w:cs="Times New Roman"/>
          <w:szCs w:val="24"/>
        </w:rPr>
        <w:t xml:space="preserve"> to </w:t>
      </w:r>
      <w:r w:rsidRPr="00A9077A">
        <w:rPr>
          <w:rFonts w:eastAsia="Times New Roman" w:cs="Times New Roman"/>
          <w:szCs w:val="24"/>
        </w:rPr>
        <w:t xml:space="preserve">pay timely the reasonable costs of the services of a person retained under Subsection (a), as determined by the </w:t>
      </w:r>
      <w:r>
        <w:rPr>
          <w:rFonts w:eastAsia="Times New Roman" w:cs="Times New Roman"/>
          <w:szCs w:val="24"/>
        </w:rPr>
        <w:t>PUC</w:t>
      </w:r>
      <w:r w:rsidRPr="00A9077A">
        <w:rPr>
          <w:rFonts w:eastAsia="Times New Roman" w:cs="Times New Roman"/>
          <w:szCs w:val="24"/>
        </w:rPr>
        <w:t>.</w:t>
      </w:r>
      <w:r>
        <w:rPr>
          <w:rFonts w:eastAsia="Times New Roman" w:cs="Times New Roman"/>
          <w:szCs w:val="24"/>
        </w:rPr>
        <w:t xml:space="preserve"> Prohibits the </w:t>
      </w:r>
      <w:r w:rsidRPr="00A9077A">
        <w:rPr>
          <w:rFonts w:eastAsia="Times New Roman" w:cs="Times New Roman"/>
          <w:szCs w:val="24"/>
        </w:rPr>
        <w:t>costs an electric utility is required to pay under this subsection</w:t>
      </w:r>
      <w:r>
        <w:rPr>
          <w:rFonts w:eastAsia="Times New Roman" w:cs="Times New Roman"/>
          <w:szCs w:val="24"/>
        </w:rPr>
        <w:t xml:space="preserve"> from exceeding $1.5 million in a 12-month period.</w:t>
      </w:r>
    </w:p>
    <w:p w:rsidR="00DA1D61" w:rsidRDefault="00DA1D61" w:rsidP="007130B0">
      <w:pPr>
        <w:spacing w:after="0" w:line="240" w:lineRule="auto"/>
        <w:ind w:left="1440"/>
        <w:jc w:val="both"/>
        <w:rPr>
          <w:rFonts w:eastAsia="Times New Roman" w:cs="Times New Roman"/>
          <w:szCs w:val="24"/>
        </w:rPr>
      </w:pPr>
    </w:p>
    <w:p w:rsidR="00DA1D61" w:rsidRDefault="00DA1D61" w:rsidP="007130B0">
      <w:pPr>
        <w:spacing w:after="0" w:line="240" w:lineRule="auto"/>
        <w:ind w:left="1440"/>
        <w:jc w:val="both"/>
        <w:rPr>
          <w:rFonts w:eastAsia="Times New Roman" w:cs="Times New Roman"/>
          <w:szCs w:val="24"/>
        </w:rPr>
      </w:pPr>
      <w:r>
        <w:rPr>
          <w:rFonts w:eastAsia="Times New Roman" w:cs="Times New Roman"/>
          <w:szCs w:val="24"/>
        </w:rPr>
        <w:t xml:space="preserve">(d) Requires the PUC to allow an </w:t>
      </w:r>
      <w:r w:rsidRPr="00A9077A">
        <w:rPr>
          <w:rFonts w:eastAsia="Times New Roman" w:cs="Times New Roman"/>
          <w:szCs w:val="24"/>
        </w:rPr>
        <w:t>electric utility to recover both the total costs the electric utility paid under Subsection (c) and the carrying charges for those costs through a rider established annually to recover the costs paid and carrying charges incurred during the preceding calendar year.</w:t>
      </w:r>
      <w:r>
        <w:rPr>
          <w:rFonts w:eastAsia="Times New Roman" w:cs="Times New Roman"/>
          <w:szCs w:val="24"/>
        </w:rPr>
        <w:t xml:space="preserve"> Prohibits the rider from being </w:t>
      </w:r>
      <w:r w:rsidRPr="00A9077A">
        <w:rPr>
          <w:rFonts w:eastAsia="Times New Roman" w:cs="Times New Roman"/>
          <w:szCs w:val="24"/>
        </w:rPr>
        <w:t xml:space="preserve">implemented before the rider is reviewed and approved by the </w:t>
      </w:r>
      <w:r>
        <w:rPr>
          <w:rFonts w:eastAsia="Times New Roman" w:cs="Times New Roman"/>
          <w:szCs w:val="24"/>
        </w:rPr>
        <w:t>PUC</w:t>
      </w:r>
      <w:r w:rsidRPr="00A9077A">
        <w:rPr>
          <w:rFonts w:eastAsia="Times New Roman" w:cs="Times New Roman"/>
          <w:szCs w:val="24"/>
        </w:rPr>
        <w:t>.</w:t>
      </w:r>
    </w:p>
    <w:p w:rsidR="00DA1D61" w:rsidRDefault="00DA1D61" w:rsidP="007130B0">
      <w:pPr>
        <w:spacing w:after="0" w:line="240" w:lineRule="auto"/>
        <w:ind w:left="1440"/>
        <w:jc w:val="both"/>
        <w:rPr>
          <w:rFonts w:eastAsia="Times New Roman" w:cs="Times New Roman"/>
          <w:szCs w:val="24"/>
        </w:rPr>
      </w:pPr>
    </w:p>
    <w:p w:rsidR="00DA1D61" w:rsidRDefault="00DA1D61" w:rsidP="007130B0">
      <w:pPr>
        <w:spacing w:after="0" w:line="240" w:lineRule="auto"/>
        <w:ind w:left="1440"/>
        <w:jc w:val="both"/>
        <w:rPr>
          <w:rFonts w:eastAsia="Times New Roman" w:cs="Times New Roman"/>
          <w:szCs w:val="24"/>
        </w:rPr>
      </w:pPr>
      <w:r>
        <w:rPr>
          <w:rFonts w:eastAsia="Times New Roman" w:cs="Times New Roman"/>
          <w:szCs w:val="24"/>
        </w:rPr>
        <w:t xml:space="preserve">(e) Requires the PUC to </w:t>
      </w:r>
      <w:r w:rsidRPr="00A9077A">
        <w:rPr>
          <w:rFonts w:eastAsia="Times New Roman" w:cs="Times New Roman"/>
          <w:szCs w:val="24"/>
        </w:rPr>
        <w:t xml:space="preserve">consult the attorney general before the </w:t>
      </w:r>
      <w:r>
        <w:rPr>
          <w:rFonts w:eastAsia="Times New Roman" w:cs="Times New Roman"/>
          <w:szCs w:val="24"/>
        </w:rPr>
        <w:t>PUC</w:t>
      </w:r>
      <w:r w:rsidRPr="00A9077A">
        <w:rPr>
          <w:rFonts w:eastAsia="Times New Roman" w:cs="Times New Roman"/>
          <w:szCs w:val="24"/>
        </w:rPr>
        <w:t xml:space="preserve"> retains a consultant, accountant, auditor, or engineer under Subsection (a).</w:t>
      </w:r>
      <w:r>
        <w:rPr>
          <w:rFonts w:eastAsia="Times New Roman" w:cs="Times New Roman"/>
          <w:szCs w:val="24"/>
        </w:rPr>
        <w:t xml:space="preserve"> Provides that the retention of an attorney under Subsection (a) is subject to the approval of the attorney general under Section 402.0212 (Provision of Legal Services--Outside Counsel), Government Code. </w:t>
      </w:r>
    </w:p>
    <w:p w:rsidR="00DA1D61" w:rsidRDefault="00DA1D61" w:rsidP="007130B0">
      <w:pPr>
        <w:spacing w:after="0" w:line="240" w:lineRule="auto"/>
        <w:ind w:left="1440"/>
        <w:jc w:val="both"/>
        <w:rPr>
          <w:rFonts w:eastAsia="Times New Roman" w:cs="Times New Roman"/>
          <w:szCs w:val="24"/>
        </w:rPr>
      </w:pPr>
    </w:p>
    <w:p w:rsidR="00DA1D61" w:rsidRDefault="00DA1D61" w:rsidP="007130B0">
      <w:pPr>
        <w:spacing w:after="0" w:line="240" w:lineRule="auto"/>
        <w:ind w:left="1440"/>
        <w:jc w:val="both"/>
        <w:rPr>
          <w:rFonts w:eastAsia="Times New Roman" w:cs="Times New Roman"/>
          <w:szCs w:val="24"/>
        </w:rPr>
      </w:pPr>
      <w:r>
        <w:rPr>
          <w:rFonts w:eastAsia="Times New Roman" w:cs="Times New Roman"/>
          <w:szCs w:val="24"/>
        </w:rPr>
        <w:t xml:space="preserve">(f) Requires the PUC to be precluded from engaging any individual </w:t>
      </w:r>
      <w:r w:rsidRPr="00A9077A">
        <w:rPr>
          <w:rFonts w:eastAsia="Times New Roman" w:cs="Times New Roman"/>
          <w:szCs w:val="24"/>
        </w:rPr>
        <w:t>who is required to register under Section 305.003</w:t>
      </w:r>
      <w:r>
        <w:rPr>
          <w:rFonts w:eastAsia="Times New Roman" w:cs="Times New Roman"/>
          <w:szCs w:val="24"/>
        </w:rPr>
        <w:t xml:space="preserve"> (Persons Required to Register)</w:t>
      </w:r>
      <w:r w:rsidRPr="00A9077A">
        <w:rPr>
          <w:rFonts w:eastAsia="Times New Roman" w:cs="Times New Roman"/>
          <w:szCs w:val="24"/>
        </w:rPr>
        <w:t>,</w:t>
      </w:r>
      <w:r w:rsidRPr="00A9077A">
        <w:t xml:space="preserve"> </w:t>
      </w:r>
      <w:r>
        <w:t>G</w:t>
      </w:r>
      <w:r w:rsidRPr="00A9077A">
        <w:rPr>
          <w:rFonts w:eastAsia="Times New Roman" w:cs="Times New Roman"/>
          <w:szCs w:val="24"/>
        </w:rPr>
        <w:t>overnment Code</w:t>
      </w:r>
      <w:r>
        <w:rPr>
          <w:rFonts w:eastAsia="Times New Roman" w:cs="Times New Roman"/>
          <w:szCs w:val="24"/>
        </w:rPr>
        <w:t>.</w:t>
      </w:r>
    </w:p>
    <w:p w:rsidR="00DA1D61" w:rsidRDefault="00DA1D61" w:rsidP="007130B0">
      <w:pPr>
        <w:spacing w:after="0" w:line="240" w:lineRule="auto"/>
        <w:ind w:left="1440"/>
        <w:jc w:val="both"/>
        <w:rPr>
          <w:rFonts w:eastAsia="Times New Roman" w:cs="Times New Roman"/>
          <w:szCs w:val="24"/>
        </w:rPr>
      </w:pPr>
    </w:p>
    <w:p w:rsidR="00DA1D61" w:rsidRDefault="00DA1D61" w:rsidP="007130B0">
      <w:pPr>
        <w:spacing w:after="0" w:line="240" w:lineRule="auto"/>
        <w:ind w:left="1440"/>
        <w:jc w:val="both"/>
        <w:rPr>
          <w:rFonts w:eastAsia="Times New Roman" w:cs="Times New Roman"/>
          <w:szCs w:val="24"/>
        </w:rPr>
      </w:pPr>
      <w:r>
        <w:rPr>
          <w:rFonts w:eastAsia="Times New Roman" w:cs="Times New Roman"/>
          <w:szCs w:val="24"/>
        </w:rPr>
        <w:t xml:space="preserve">(g) Provides that, notwithstanding </w:t>
      </w:r>
      <w:r w:rsidRPr="00A9077A">
        <w:rPr>
          <w:rFonts w:eastAsia="Times New Roman" w:cs="Times New Roman"/>
          <w:szCs w:val="24"/>
        </w:rPr>
        <w:t>Sections 39.402(a)</w:t>
      </w:r>
      <w:r>
        <w:rPr>
          <w:rFonts w:eastAsia="Times New Roman" w:cs="Times New Roman"/>
          <w:szCs w:val="24"/>
        </w:rPr>
        <w:t xml:space="preserve"> (relating to requiring the rates of the utility to </w:t>
      </w:r>
      <w:r w:rsidRPr="00A9077A">
        <w:rPr>
          <w:rFonts w:eastAsia="Times New Roman" w:cs="Times New Roman"/>
          <w:szCs w:val="24"/>
        </w:rPr>
        <w:t>be regulated under traditional cost of service regulation and the utility is subject to all applicable regulatory authority</w:t>
      </w:r>
      <w:r>
        <w:rPr>
          <w:rFonts w:eastAsia="Times New Roman" w:cs="Times New Roman"/>
          <w:szCs w:val="24"/>
        </w:rPr>
        <w:t>)</w:t>
      </w:r>
      <w:r w:rsidRPr="00A9077A">
        <w:rPr>
          <w:rFonts w:eastAsia="Times New Roman" w:cs="Times New Roman"/>
          <w:szCs w:val="24"/>
        </w:rPr>
        <w:t>, 39.452(d)</w:t>
      </w:r>
      <w:r>
        <w:rPr>
          <w:rFonts w:eastAsia="Times New Roman" w:cs="Times New Roman"/>
          <w:szCs w:val="24"/>
        </w:rPr>
        <w:t xml:space="preserve"> (relating to providing that until the date on which an electric utility subject to Subchapter </w:t>
      </w:r>
      <w:r w:rsidRPr="00A9077A">
        <w:rPr>
          <w:rFonts w:eastAsia="Times New Roman" w:cs="Times New Roman"/>
          <w:szCs w:val="24"/>
        </w:rPr>
        <w:t>J</w:t>
      </w:r>
      <w:r>
        <w:rPr>
          <w:rFonts w:eastAsia="Times New Roman" w:cs="Times New Roman"/>
          <w:szCs w:val="24"/>
        </w:rPr>
        <w:t xml:space="preserve"> (Transition to Competition in Certain Non-ERCOT Areas) implements customer choice </w:t>
      </w:r>
      <w:r w:rsidRPr="00A9077A">
        <w:rPr>
          <w:rFonts w:eastAsia="Times New Roman" w:cs="Times New Roman"/>
          <w:szCs w:val="24"/>
        </w:rPr>
        <w:t>the provisions of</w:t>
      </w:r>
      <w:r>
        <w:rPr>
          <w:rFonts w:eastAsia="Times New Roman" w:cs="Times New Roman"/>
          <w:szCs w:val="24"/>
        </w:rPr>
        <w:t xml:space="preserve"> Chapter 39 (Restructuring of Electric Utility Industry)</w:t>
      </w:r>
      <w:r w:rsidRPr="00A9077A">
        <w:rPr>
          <w:rFonts w:eastAsia="Times New Roman" w:cs="Times New Roman"/>
          <w:szCs w:val="24"/>
        </w:rPr>
        <w:t xml:space="preserve"> do not apply to</w:t>
      </w:r>
      <w:r>
        <w:rPr>
          <w:rFonts w:eastAsia="Times New Roman" w:cs="Times New Roman"/>
          <w:szCs w:val="24"/>
        </w:rPr>
        <w:t xml:space="preserve"> certain entities or provisions and the electric utility is not subject to a rate freeze and is authorized to file for rate changes)</w:t>
      </w:r>
      <w:r w:rsidRPr="00A9077A">
        <w:rPr>
          <w:rFonts w:eastAsia="Times New Roman" w:cs="Times New Roman"/>
          <w:szCs w:val="24"/>
        </w:rPr>
        <w:t>, and 39.502(b)</w:t>
      </w:r>
      <w:r>
        <w:rPr>
          <w:rFonts w:eastAsia="Times New Roman" w:cs="Times New Roman"/>
          <w:szCs w:val="24"/>
        </w:rPr>
        <w:t xml:space="preserve"> (relating to providing that until the date on which an electric utility subject to this subchapter implements customer choice, the certain provisions do not apply to that utility)</w:t>
      </w:r>
      <w:r w:rsidRPr="00A9077A">
        <w:rPr>
          <w:rFonts w:eastAsia="Times New Roman" w:cs="Times New Roman"/>
          <w:szCs w:val="24"/>
        </w:rPr>
        <w:t>, this section applies to an electric utility to which Subchapter I</w:t>
      </w:r>
      <w:r>
        <w:rPr>
          <w:rFonts w:eastAsia="Times New Roman" w:cs="Times New Roman"/>
          <w:szCs w:val="24"/>
        </w:rPr>
        <w:t xml:space="preserve"> (Provisions for Certain Non-ERCOT Utilities)</w:t>
      </w:r>
      <w:r w:rsidRPr="00A9077A">
        <w:rPr>
          <w:rFonts w:eastAsia="Times New Roman" w:cs="Times New Roman"/>
          <w:szCs w:val="24"/>
        </w:rPr>
        <w:t xml:space="preserve">, </w:t>
      </w:r>
      <w:r>
        <w:rPr>
          <w:rFonts w:eastAsia="Times New Roman" w:cs="Times New Roman"/>
          <w:szCs w:val="24"/>
        </w:rPr>
        <w:t>J</w:t>
      </w:r>
      <w:r w:rsidRPr="00A9077A">
        <w:rPr>
          <w:rFonts w:eastAsia="Times New Roman" w:cs="Times New Roman"/>
          <w:szCs w:val="24"/>
        </w:rPr>
        <w:t>, or K</w:t>
      </w:r>
      <w:r>
        <w:rPr>
          <w:rFonts w:eastAsia="Times New Roman" w:cs="Times New Roman"/>
          <w:szCs w:val="24"/>
        </w:rPr>
        <w:t xml:space="preserve"> (Transition to Competition for Certain Areas Outside of ERCOT)</w:t>
      </w:r>
      <w:r w:rsidRPr="00A9077A">
        <w:rPr>
          <w:rFonts w:eastAsia="Times New Roman" w:cs="Times New Roman"/>
          <w:szCs w:val="24"/>
        </w:rPr>
        <w:t xml:space="preserve"> applies.</w:t>
      </w:r>
    </w:p>
    <w:p w:rsidR="00DA1D61" w:rsidRPr="005C2A78" w:rsidRDefault="00DA1D61" w:rsidP="007130B0">
      <w:pPr>
        <w:spacing w:after="0" w:line="240" w:lineRule="auto"/>
        <w:jc w:val="both"/>
        <w:rPr>
          <w:rFonts w:eastAsia="Times New Roman" w:cs="Times New Roman"/>
          <w:szCs w:val="24"/>
        </w:rPr>
      </w:pPr>
    </w:p>
    <w:p w:rsidR="00DA1D61" w:rsidRPr="00C8671F" w:rsidRDefault="00DA1D61" w:rsidP="007130B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 </w:t>
      </w:r>
    </w:p>
    <w:sectPr w:rsidR="00DA1D6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7EC5" w:rsidRDefault="000A7EC5" w:rsidP="000F1DF9">
      <w:pPr>
        <w:spacing w:after="0" w:line="240" w:lineRule="auto"/>
      </w:pPr>
      <w:r>
        <w:separator/>
      </w:r>
    </w:p>
  </w:endnote>
  <w:endnote w:type="continuationSeparator" w:id="0">
    <w:p w:rsidR="000A7EC5" w:rsidRDefault="000A7EC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A7EC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A1D61">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A1D61">
                <w:rPr>
                  <w:sz w:val="20"/>
                  <w:szCs w:val="20"/>
                </w:rPr>
                <w:t>H.B. 4668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A1D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A7EC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7EC5" w:rsidRDefault="000A7EC5" w:rsidP="000F1DF9">
      <w:pPr>
        <w:spacing w:after="0" w:line="240" w:lineRule="auto"/>
      </w:pPr>
      <w:r>
        <w:separator/>
      </w:r>
    </w:p>
  </w:footnote>
  <w:footnote w:type="continuationSeparator" w:id="0">
    <w:p w:rsidR="000A7EC5" w:rsidRDefault="000A7EC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7EC5"/>
    <w:rsid w:val="000B4D64"/>
    <w:rsid w:val="000E552E"/>
    <w:rsid w:val="000F1DF9"/>
    <w:rsid w:val="00201D5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7C0F"/>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A1D61"/>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7BE33"/>
  <w15:docId w15:val="{C78E8122-6195-41E4-930F-D35AC8A7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A1D6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8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9509FBCD01F46DC846A512D958944E0"/>
        <w:category>
          <w:name w:val="General"/>
          <w:gallery w:val="placeholder"/>
        </w:category>
        <w:types>
          <w:type w:val="bbPlcHdr"/>
        </w:types>
        <w:behaviors>
          <w:behavior w:val="content"/>
        </w:behaviors>
        <w:guid w:val="{BB624240-CF07-4DED-B211-B9BE50DEF317}"/>
      </w:docPartPr>
      <w:docPartBody>
        <w:p w:rsidR="008E0BA6" w:rsidRDefault="008E0BA6"/>
      </w:docPartBody>
    </w:docPart>
    <w:docPart>
      <w:docPartPr>
        <w:name w:val="F74EF4A865D140508AE12BCCE999D8A2"/>
        <w:category>
          <w:name w:val="General"/>
          <w:gallery w:val="placeholder"/>
        </w:category>
        <w:types>
          <w:type w:val="bbPlcHdr"/>
        </w:types>
        <w:behaviors>
          <w:behavior w:val="content"/>
        </w:behaviors>
        <w:guid w:val="{C33D014C-60CE-4C6D-A466-993FBAC5B266}"/>
      </w:docPartPr>
      <w:docPartBody>
        <w:p w:rsidR="008E0BA6" w:rsidRDefault="008E0BA6"/>
      </w:docPartBody>
    </w:docPart>
    <w:docPart>
      <w:docPartPr>
        <w:name w:val="158565355D8C47AFA5DFAAC4ABE46E7C"/>
        <w:category>
          <w:name w:val="General"/>
          <w:gallery w:val="placeholder"/>
        </w:category>
        <w:types>
          <w:type w:val="bbPlcHdr"/>
        </w:types>
        <w:behaviors>
          <w:behavior w:val="content"/>
        </w:behaviors>
        <w:guid w:val="{18D0B08D-1106-43A3-99A5-D552DB099F4B}"/>
      </w:docPartPr>
      <w:docPartBody>
        <w:p w:rsidR="008E0BA6" w:rsidRDefault="008E0BA6"/>
      </w:docPartBody>
    </w:docPart>
    <w:docPart>
      <w:docPartPr>
        <w:name w:val="699088D631944034907EE2BBEC1ABF8F"/>
        <w:category>
          <w:name w:val="General"/>
          <w:gallery w:val="placeholder"/>
        </w:category>
        <w:types>
          <w:type w:val="bbPlcHdr"/>
        </w:types>
        <w:behaviors>
          <w:behavior w:val="content"/>
        </w:behaviors>
        <w:guid w:val="{133E22FC-2388-499D-963A-F8A758556DBA}"/>
      </w:docPartPr>
      <w:docPartBody>
        <w:p w:rsidR="008E0BA6" w:rsidRDefault="008E0BA6"/>
      </w:docPartBody>
    </w:docPart>
    <w:docPart>
      <w:docPartPr>
        <w:name w:val="AF0C83DF9CBC4355A2F2395099B65FC6"/>
        <w:category>
          <w:name w:val="General"/>
          <w:gallery w:val="placeholder"/>
        </w:category>
        <w:types>
          <w:type w:val="bbPlcHdr"/>
        </w:types>
        <w:behaviors>
          <w:behavior w:val="content"/>
        </w:behaviors>
        <w:guid w:val="{DA373843-2A37-4C8A-AE6B-41A7F938E91A}"/>
      </w:docPartPr>
      <w:docPartBody>
        <w:p w:rsidR="008E0BA6" w:rsidRDefault="008E0BA6"/>
      </w:docPartBody>
    </w:docPart>
    <w:docPart>
      <w:docPartPr>
        <w:name w:val="7B5C2312AE5B499CBC9A1500EB85D6FF"/>
        <w:category>
          <w:name w:val="General"/>
          <w:gallery w:val="placeholder"/>
        </w:category>
        <w:types>
          <w:type w:val="bbPlcHdr"/>
        </w:types>
        <w:behaviors>
          <w:behavior w:val="content"/>
        </w:behaviors>
        <w:guid w:val="{6EA024C3-CE52-4D7D-A993-B13518E1E0F8}"/>
      </w:docPartPr>
      <w:docPartBody>
        <w:p w:rsidR="008E0BA6" w:rsidRDefault="008E0BA6"/>
      </w:docPartBody>
    </w:docPart>
    <w:docPart>
      <w:docPartPr>
        <w:name w:val="1CF9867A54C94131B7C2017F6C83BB9D"/>
        <w:category>
          <w:name w:val="General"/>
          <w:gallery w:val="placeholder"/>
        </w:category>
        <w:types>
          <w:type w:val="bbPlcHdr"/>
        </w:types>
        <w:behaviors>
          <w:behavior w:val="content"/>
        </w:behaviors>
        <w:guid w:val="{065F2BB4-2EB3-4DD8-9977-37A80AAAF4DB}"/>
      </w:docPartPr>
      <w:docPartBody>
        <w:p w:rsidR="008E0BA6" w:rsidRDefault="008E0BA6"/>
      </w:docPartBody>
    </w:docPart>
    <w:docPart>
      <w:docPartPr>
        <w:name w:val="D58B82075C0F4844AB16A8074FC9BAE0"/>
        <w:category>
          <w:name w:val="General"/>
          <w:gallery w:val="placeholder"/>
        </w:category>
        <w:types>
          <w:type w:val="bbPlcHdr"/>
        </w:types>
        <w:behaviors>
          <w:behavior w:val="content"/>
        </w:behaviors>
        <w:guid w:val="{2BAE4468-1FF7-4917-9437-261D06292BC2}"/>
      </w:docPartPr>
      <w:docPartBody>
        <w:p w:rsidR="008E0BA6" w:rsidRDefault="008E0BA6"/>
      </w:docPartBody>
    </w:docPart>
    <w:docPart>
      <w:docPartPr>
        <w:name w:val="F3DA83222339469ABFB8FED32B3A992E"/>
        <w:category>
          <w:name w:val="General"/>
          <w:gallery w:val="placeholder"/>
        </w:category>
        <w:types>
          <w:type w:val="bbPlcHdr"/>
        </w:types>
        <w:behaviors>
          <w:behavior w:val="content"/>
        </w:behaviors>
        <w:guid w:val="{249C5125-AB15-493B-B366-7FDD50D0531B}"/>
      </w:docPartPr>
      <w:docPartBody>
        <w:p w:rsidR="008E0BA6" w:rsidRDefault="008E0BA6"/>
      </w:docPartBody>
    </w:docPart>
    <w:docPart>
      <w:docPartPr>
        <w:name w:val="D9282F3B53584A279B091AA90C652CC4"/>
        <w:category>
          <w:name w:val="General"/>
          <w:gallery w:val="placeholder"/>
        </w:category>
        <w:types>
          <w:type w:val="bbPlcHdr"/>
        </w:types>
        <w:behaviors>
          <w:behavior w:val="content"/>
        </w:behaviors>
        <w:guid w:val="{A3038087-C525-4876-BEC4-389F9DC5B65C}"/>
      </w:docPartPr>
      <w:docPartBody>
        <w:p w:rsidR="008E0BA6" w:rsidRDefault="00B90C2B" w:rsidP="00B90C2B">
          <w:pPr>
            <w:pStyle w:val="D9282F3B53584A279B091AA90C652CC4"/>
          </w:pPr>
          <w:r w:rsidRPr="00A30DD1">
            <w:rPr>
              <w:rStyle w:val="PlaceholderText"/>
            </w:rPr>
            <w:t>Click here to enter a date.</w:t>
          </w:r>
        </w:p>
      </w:docPartBody>
    </w:docPart>
    <w:docPart>
      <w:docPartPr>
        <w:name w:val="04AB732A3A454656BDB165AF4FFA2C34"/>
        <w:category>
          <w:name w:val="General"/>
          <w:gallery w:val="placeholder"/>
        </w:category>
        <w:types>
          <w:type w:val="bbPlcHdr"/>
        </w:types>
        <w:behaviors>
          <w:behavior w:val="content"/>
        </w:behaviors>
        <w:guid w:val="{D0C77295-D3BB-43E5-A0D6-4A7E7ABB6F4C}"/>
      </w:docPartPr>
      <w:docPartBody>
        <w:p w:rsidR="008E0BA6" w:rsidRDefault="008E0BA6"/>
      </w:docPartBody>
    </w:docPart>
    <w:docPart>
      <w:docPartPr>
        <w:name w:val="6D6AC8BCC7B9431C9CFD8FB3BED52222"/>
        <w:category>
          <w:name w:val="General"/>
          <w:gallery w:val="placeholder"/>
        </w:category>
        <w:types>
          <w:type w:val="bbPlcHdr"/>
        </w:types>
        <w:behaviors>
          <w:behavior w:val="content"/>
        </w:behaviors>
        <w:guid w:val="{AB6B772B-9B0A-491A-819C-4D3AF2635B2D}"/>
      </w:docPartPr>
      <w:docPartBody>
        <w:p w:rsidR="008E0BA6" w:rsidRDefault="008E0BA6"/>
      </w:docPartBody>
    </w:docPart>
    <w:docPart>
      <w:docPartPr>
        <w:name w:val="DCE31166B0A44EC88477AEC631C9A7EC"/>
        <w:category>
          <w:name w:val="General"/>
          <w:gallery w:val="placeholder"/>
        </w:category>
        <w:types>
          <w:type w:val="bbPlcHdr"/>
        </w:types>
        <w:behaviors>
          <w:behavior w:val="content"/>
        </w:behaviors>
        <w:guid w:val="{CAC185E3-9A98-469E-A227-68E87E461E6B}"/>
      </w:docPartPr>
      <w:docPartBody>
        <w:p w:rsidR="008E0BA6" w:rsidRDefault="00B90C2B" w:rsidP="00B90C2B">
          <w:pPr>
            <w:pStyle w:val="DCE31166B0A44EC88477AEC631C9A7EC"/>
          </w:pPr>
          <w:r>
            <w:rPr>
              <w:rFonts w:eastAsia="Times New Roman" w:cs="Times New Roman"/>
              <w:bCs/>
            </w:rPr>
            <w:t xml:space="preserve"> </w:t>
          </w:r>
        </w:p>
      </w:docPartBody>
    </w:docPart>
    <w:docPart>
      <w:docPartPr>
        <w:name w:val="DB3EB49C7F1C43BA88A06D8117B8F828"/>
        <w:category>
          <w:name w:val="General"/>
          <w:gallery w:val="placeholder"/>
        </w:category>
        <w:types>
          <w:type w:val="bbPlcHdr"/>
        </w:types>
        <w:behaviors>
          <w:behavior w:val="content"/>
        </w:behaviors>
        <w:guid w:val="{538DC46D-00BD-4C2A-A5EB-86532C569DCB}"/>
      </w:docPartPr>
      <w:docPartBody>
        <w:p w:rsidR="008E0BA6" w:rsidRDefault="008E0BA6"/>
      </w:docPartBody>
    </w:docPart>
    <w:docPart>
      <w:docPartPr>
        <w:name w:val="B44037E517C941E4A244EE0A4A1DF995"/>
        <w:category>
          <w:name w:val="General"/>
          <w:gallery w:val="placeholder"/>
        </w:category>
        <w:types>
          <w:type w:val="bbPlcHdr"/>
        </w:types>
        <w:behaviors>
          <w:behavior w:val="content"/>
        </w:behaviors>
        <w:guid w:val="{5D1DF8BF-857D-4B12-93FC-BE30462F3130}"/>
      </w:docPartPr>
      <w:docPartBody>
        <w:p w:rsidR="008E0BA6" w:rsidRDefault="008E0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7C0F"/>
    <w:rsid w:val="008C55F7"/>
    <w:rsid w:val="008E0BA6"/>
    <w:rsid w:val="0090598B"/>
    <w:rsid w:val="00984D6C"/>
    <w:rsid w:val="00A54AD6"/>
    <w:rsid w:val="00A57564"/>
    <w:rsid w:val="00B252A4"/>
    <w:rsid w:val="00B5530B"/>
    <w:rsid w:val="00B90C2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C2B"/>
    <w:rPr>
      <w:color w:val="808080"/>
    </w:rPr>
  </w:style>
  <w:style w:type="paragraph" w:customStyle="1" w:styleId="D9282F3B53584A279B091AA90C652CC4">
    <w:name w:val="D9282F3B53584A279B091AA90C652CC4"/>
    <w:rsid w:val="00B90C2B"/>
    <w:pPr>
      <w:spacing w:after="160" w:line="278" w:lineRule="auto"/>
    </w:pPr>
    <w:rPr>
      <w:kern w:val="2"/>
      <w:sz w:val="24"/>
      <w:szCs w:val="24"/>
      <w14:ligatures w14:val="standardContextual"/>
    </w:rPr>
  </w:style>
  <w:style w:type="paragraph" w:customStyle="1" w:styleId="DCE31166B0A44EC88477AEC631C9A7EC">
    <w:name w:val="DCE31166B0A44EC88477AEC631C9A7EC"/>
    <w:rsid w:val="00B90C2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849</Words>
  <Characters>4845</Characters>
  <Application>Microsoft Office Word</Application>
  <DocSecurity>0</DocSecurity>
  <Lines>40</Lines>
  <Paragraphs>11</Paragraphs>
  <ScaleCrop>false</ScaleCrop>
  <Company>Texas Legislative Council</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2025-05-19T16:05:00Z</cp:lastPrinted>
  <dcterms:created xsi:type="dcterms:W3CDTF">2015-05-29T14:24:00Z</dcterms:created>
  <dcterms:modified xsi:type="dcterms:W3CDTF">2025-05-19T16:05:00Z</dcterms:modified>
</cp:coreProperties>
</file>

<file path=docProps/custom.xml><?xml version="1.0" encoding="utf-8"?>
<op:Properties xmlns:vt="http://schemas.openxmlformats.org/officeDocument/2006/docPropsVTypes" xmlns:op="http://schemas.openxmlformats.org/officeDocument/2006/custom-properties"/>
</file>