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2A6AAE" w14:paraId="3ADDB7E0" w14:textId="77777777" w:rsidTr="005C790A">
        <w:tc>
          <w:tcPr>
            <w:tcW w:w="9576" w:type="dxa"/>
            <w:noWrap/>
          </w:tcPr>
          <w:p w14:paraId="534C8D83" w14:textId="77777777" w:rsidR="008423E4" w:rsidRPr="0022177D" w:rsidRDefault="0010466D" w:rsidP="00B6233F">
            <w:pPr>
              <w:pStyle w:val="Heading1"/>
            </w:pPr>
            <w:r w:rsidRPr="00631897">
              <w:t>BILL ANALYSIS</w:t>
            </w:r>
          </w:p>
        </w:tc>
      </w:tr>
    </w:tbl>
    <w:p w14:paraId="66E3EBAF" w14:textId="77777777" w:rsidR="008423E4" w:rsidRPr="0022177D" w:rsidRDefault="008423E4" w:rsidP="00B6233F">
      <w:pPr>
        <w:jc w:val="center"/>
      </w:pPr>
    </w:p>
    <w:p w14:paraId="50D57436" w14:textId="77777777" w:rsidR="008423E4" w:rsidRPr="00B31F0E" w:rsidRDefault="008423E4" w:rsidP="00B6233F"/>
    <w:p w14:paraId="27D81B14" w14:textId="77777777" w:rsidR="008423E4" w:rsidRPr="00742794" w:rsidRDefault="008423E4" w:rsidP="00B6233F">
      <w:pPr>
        <w:tabs>
          <w:tab w:val="right" w:pos="9360"/>
        </w:tabs>
      </w:pPr>
    </w:p>
    <w:tbl>
      <w:tblPr>
        <w:tblW w:w="0" w:type="auto"/>
        <w:tblLayout w:type="fixed"/>
        <w:tblLook w:val="01E0" w:firstRow="1" w:lastRow="1" w:firstColumn="1" w:lastColumn="1" w:noHBand="0" w:noVBand="0"/>
      </w:tblPr>
      <w:tblGrid>
        <w:gridCol w:w="9576"/>
      </w:tblGrid>
      <w:tr w:rsidR="002A6AAE" w14:paraId="4040CC8A" w14:textId="77777777" w:rsidTr="005C790A">
        <w:tc>
          <w:tcPr>
            <w:tcW w:w="9576" w:type="dxa"/>
          </w:tcPr>
          <w:p w14:paraId="2893917A" w14:textId="70F871BC" w:rsidR="008423E4" w:rsidRPr="00861995" w:rsidRDefault="0010466D" w:rsidP="00B6233F">
            <w:pPr>
              <w:jc w:val="right"/>
            </w:pPr>
            <w:r>
              <w:t>H.B. 5323</w:t>
            </w:r>
          </w:p>
        </w:tc>
      </w:tr>
      <w:tr w:rsidR="002A6AAE" w14:paraId="6A9EFEE4" w14:textId="77777777" w:rsidTr="005C790A">
        <w:tc>
          <w:tcPr>
            <w:tcW w:w="9576" w:type="dxa"/>
          </w:tcPr>
          <w:p w14:paraId="10F38E19" w14:textId="06303981" w:rsidR="008423E4" w:rsidRPr="00861995" w:rsidRDefault="0010466D" w:rsidP="00B6233F">
            <w:pPr>
              <w:jc w:val="right"/>
            </w:pPr>
            <w:r>
              <w:t xml:space="preserve">By: </w:t>
            </w:r>
            <w:r w:rsidR="00070C9C">
              <w:t>King</w:t>
            </w:r>
          </w:p>
        </w:tc>
      </w:tr>
      <w:tr w:rsidR="002A6AAE" w14:paraId="12397C42" w14:textId="77777777" w:rsidTr="005C790A">
        <w:tc>
          <w:tcPr>
            <w:tcW w:w="9576" w:type="dxa"/>
          </w:tcPr>
          <w:p w14:paraId="70A5584D" w14:textId="32A8123F" w:rsidR="008423E4" w:rsidRPr="00861995" w:rsidRDefault="0010466D" w:rsidP="00B6233F">
            <w:pPr>
              <w:jc w:val="right"/>
            </w:pPr>
            <w:r>
              <w:t>State Affairs</w:t>
            </w:r>
          </w:p>
        </w:tc>
      </w:tr>
      <w:tr w:rsidR="002A6AAE" w14:paraId="12EF4DD9" w14:textId="77777777" w:rsidTr="005C790A">
        <w:tc>
          <w:tcPr>
            <w:tcW w:w="9576" w:type="dxa"/>
          </w:tcPr>
          <w:p w14:paraId="4260B43D" w14:textId="74D0C4FE" w:rsidR="008423E4" w:rsidRDefault="0010466D" w:rsidP="00B6233F">
            <w:pPr>
              <w:jc w:val="right"/>
            </w:pPr>
            <w:r>
              <w:t>Committee Report (Unamended)</w:t>
            </w:r>
          </w:p>
        </w:tc>
      </w:tr>
    </w:tbl>
    <w:p w14:paraId="018A2E77" w14:textId="77777777" w:rsidR="008423E4" w:rsidRDefault="008423E4" w:rsidP="00B6233F">
      <w:pPr>
        <w:tabs>
          <w:tab w:val="right" w:pos="9360"/>
        </w:tabs>
      </w:pPr>
    </w:p>
    <w:p w14:paraId="2D253A49" w14:textId="77777777" w:rsidR="008423E4" w:rsidRDefault="008423E4" w:rsidP="00B6233F"/>
    <w:p w14:paraId="0839DF10" w14:textId="77777777" w:rsidR="008423E4" w:rsidRDefault="008423E4" w:rsidP="00B6233F"/>
    <w:tbl>
      <w:tblPr>
        <w:tblW w:w="0" w:type="auto"/>
        <w:tblCellMar>
          <w:left w:w="115" w:type="dxa"/>
          <w:right w:w="115" w:type="dxa"/>
        </w:tblCellMar>
        <w:tblLook w:val="01E0" w:firstRow="1" w:lastRow="1" w:firstColumn="1" w:lastColumn="1" w:noHBand="0" w:noVBand="0"/>
      </w:tblPr>
      <w:tblGrid>
        <w:gridCol w:w="9360"/>
      </w:tblGrid>
      <w:tr w:rsidR="002A6AAE" w14:paraId="4319A204" w14:textId="77777777" w:rsidTr="005C790A">
        <w:tc>
          <w:tcPr>
            <w:tcW w:w="9576" w:type="dxa"/>
          </w:tcPr>
          <w:p w14:paraId="2F2F0DF1" w14:textId="77777777" w:rsidR="008423E4" w:rsidRPr="00A8133F" w:rsidRDefault="0010466D" w:rsidP="00B6233F">
            <w:pPr>
              <w:rPr>
                <w:b/>
              </w:rPr>
            </w:pPr>
            <w:r w:rsidRPr="009C1E9A">
              <w:rPr>
                <w:b/>
                <w:u w:val="single"/>
              </w:rPr>
              <w:t>BACKGROUND AND PURPOSE</w:t>
            </w:r>
            <w:r>
              <w:rPr>
                <w:b/>
              </w:rPr>
              <w:t xml:space="preserve"> </w:t>
            </w:r>
          </w:p>
          <w:p w14:paraId="3B369D52" w14:textId="77777777" w:rsidR="008423E4" w:rsidRDefault="008423E4" w:rsidP="00B6233F"/>
          <w:p w14:paraId="79A114FD" w14:textId="0F3748E4" w:rsidR="009B1C48" w:rsidRDefault="0010466D" w:rsidP="00B6233F">
            <w:pPr>
              <w:pStyle w:val="Header"/>
              <w:tabs>
                <w:tab w:val="clear" w:pos="4320"/>
                <w:tab w:val="clear" w:pos="8640"/>
              </w:tabs>
              <w:jc w:val="both"/>
            </w:pPr>
            <w:r w:rsidRPr="00374E1C">
              <w:t xml:space="preserve">Texas has many incentive programs, market products, and regulatory requirements that are developed to increase </w:t>
            </w:r>
            <w:r>
              <w:t>the state's</w:t>
            </w:r>
            <w:r w:rsidRPr="00374E1C">
              <w:t xml:space="preserve"> energy efficiency and electricity demand response capabilities. </w:t>
            </w:r>
            <w:r w:rsidR="008F4264">
              <w:t>The bill author has informed the committee that while e</w:t>
            </w:r>
            <w:r w:rsidRPr="00374E1C">
              <w:t xml:space="preserve">ach cluster of programs is managed by a separate state agency, none of these programs are designed with universal perspective. </w:t>
            </w:r>
            <w:r w:rsidR="000A58D9">
              <w:t>The bill author has</w:t>
            </w:r>
            <w:r w:rsidR="00617390">
              <w:t xml:space="preserve"> further</w:t>
            </w:r>
            <w:r w:rsidR="000A58D9">
              <w:t xml:space="preserve"> informed the committee that </w:t>
            </w:r>
            <w:r w:rsidR="00617390" w:rsidRPr="00374E1C">
              <w:t xml:space="preserve">presumably all state programs could be designed to meet </w:t>
            </w:r>
            <w:r w:rsidR="00DF7F3B" w:rsidRPr="00374E1C">
              <w:t>the goal of ensuring a reliable state power grid</w:t>
            </w:r>
            <w:r>
              <w:t xml:space="preserve">, and that </w:t>
            </w:r>
            <w:r w:rsidR="000A58D9">
              <w:t>s</w:t>
            </w:r>
            <w:r w:rsidRPr="00374E1C">
              <w:t>tate agencies should be required to collaborate on programmatic approaches to achi</w:t>
            </w:r>
            <w:r w:rsidRPr="00374E1C">
              <w:t>eve</w:t>
            </w:r>
            <w:r w:rsidR="00DF7F3B">
              <w:t xml:space="preserve"> that goal</w:t>
            </w:r>
            <w:r w:rsidRPr="00374E1C">
              <w:t>.</w:t>
            </w:r>
            <w:r>
              <w:t xml:space="preserve"> H.B. 53</w:t>
            </w:r>
            <w:r w:rsidRPr="00374E1C">
              <w:t xml:space="preserve">23 </w:t>
            </w:r>
            <w:r w:rsidR="00DF7F3B">
              <w:t xml:space="preserve">seeks to address this issue by </w:t>
            </w:r>
            <w:r w:rsidRPr="00374E1C">
              <w:t>establish</w:t>
            </w:r>
            <w:r w:rsidR="00DF7F3B">
              <w:t>ing</w:t>
            </w:r>
            <w:r w:rsidRPr="00374E1C">
              <w:t xml:space="preserve"> the Texas Energy Waste Advisory Committee </w:t>
            </w:r>
            <w:r w:rsidR="00DF7F3B" w:rsidRPr="00374E1C">
              <w:t xml:space="preserve">to assist in achieving the reliability needs of the </w:t>
            </w:r>
            <w:r w:rsidR="00DF7F3B">
              <w:t xml:space="preserve">ERCOT </w:t>
            </w:r>
            <w:r w:rsidR="00DF7F3B" w:rsidRPr="00374E1C">
              <w:t>power region</w:t>
            </w:r>
            <w:r w:rsidR="00DF7F3B">
              <w:t xml:space="preserve"> and</w:t>
            </w:r>
            <w:r w:rsidR="00DF7F3B" w:rsidRPr="00374E1C">
              <w:t xml:space="preserve"> </w:t>
            </w:r>
            <w:r w:rsidRPr="00374E1C">
              <w:t>to recommend policies and coordinate inter-agency programs to reduce energy waste, increase energy efficiency, and enhance demand response programs</w:t>
            </w:r>
            <w:r w:rsidR="00D75A8F">
              <w:t>.</w:t>
            </w:r>
          </w:p>
          <w:p w14:paraId="219A9A2E" w14:textId="77777777" w:rsidR="008423E4" w:rsidRPr="00E26B13" w:rsidRDefault="008423E4" w:rsidP="00B6233F">
            <w:pPr>
              <w:pStyle w:val="Header"/>
              <w:tabs>
                <w:tab w:val="clear" w:pos="4320"/>
                <w:tab w:val="clear" w:pos="8640"/>
              </w:tabs>
              <w:jc w:val="both"/>
              <w:rPr>
                <w:b/>
              </w:rPr>
            </w:pPr>
          </w:p>
        </w:tc>
      </w:tr>
      <w:tr w:rsidR="002A6AAE" w14:paraId="49233FB1" w14:textId="77777777" w:rsidTr="005C790A">
        <w:tc>
          <w:tcPr>
            <w:tcW w:w="9576" w:type="dxa"/>
          </w:tcPr>
          <w:p w14:paraId="49693BFC" w14:textId="77777777" w:rsidR="0017725B" w:rsidRDefault="0010466D" w:rsidP="00B6233F">
            <w:pPr>
              <w:rPr>
                <w:b/>
                <w:u w:val="single"/>
              </w:rPr>
            </w:pPr>
            <w:r>
              <w:rPr>
                <w:b/>
                <w:u w:val="single"/>
              </w:rPr>
              <w:t>CRIMINAL JUSTICE IMPACT</w:t>
            </w:r>
          </w:p>
          <w:p w14:paraId="652F05CA" w14:textId="77777777" w:rsidR="0017725B" w:rsidRDefault="0017725B" w:rsidP="00B6233F">
            <w:pPr>
              <w:rPr>
                <w:b/>
                <w:u w:val="single"/>
              </w:rPr>
            </w:pPr>
          </w:p>
          <w:p w14:paraId="6C8DEAC1" w14:textId="1B73CF4C" w:rsidR="004A10BD" w:rsidRPr="004A10BD" w:rsidRDefault="0010466D" w:rsidP="00B6233F">
            <w:pPr>
              <w:jc w:val="both"/>
            </w:pPr>
            <w:r>
              <w:t xml:space="preserve">It is the committee's opinion that </w:t>
            </w:r>
            <w:r>
              <w:t>this bill does not expressly create a criminal offense, increase the punishment for an existing criminal offense or category of offenses, or change the eligibility of a person for community supervision, parole, or mandatory supervision.</w:t>
            </w:r>
          </w:p>
          <w:p w14:paraId="4892F73A" w14:textId="77777777" w:rsidR="0017725B" w:rsidRPr="0017725B" w:rsidRDefault="0017725B" w:rsidP="00B6233F">
            <w:pPr>
              <w:rPr>
                <w:b/>
                <w:u w:val="single"/>
              </w:rPr>
            </w:pPr>
          </w:p>
        </w:tc>
      </w:tr>
      <w:tr w:rsidR="002A6AAE" w14:paraId="2E91187A" w14:textId="77777777" w:rsidTr="005C790A">
        <w:tc>
          <w:tcPr>
            <w:tcW w:w="9576" w:type="dxa"/>
          </w:tcPr>
          <w:p w14:paraId="684F380C" w14:textId="77777777" w:rsidR="008423E4" w:rsidRPr="00A8133F" w:rsidRDefault="0010466D" w:rsidP="00B6233F">
            <w:pPr>
              <w:rPr>
                <w:b/>
              </w:rPr>
            </w:pPr>
            <w:r w:rsidRPr="009C1E9A">
              <w:rPr>
                <w:b/>
                <w:u w:val="single"/>
              </w:rPr>
              <w:t>RULEMAKING AUTHORITY</w:t>
            </w:r>
            <w:r>
              <w:rPr>
                <w:b/>
              </w:rPr>
              <w:t xml:space="preserve"> </w:t>
            </w:r>
          </w:p>
          <w:p w14:paraId="422620E4" w14:textId="77777777" w:rsidR="008423E4" w:rsidRDefault="008423E4" w:rsidP="00B6233F"/>
          <w:p w14:paraId="14AB5DE0" w14:textId="0D3D1499" w:rsidR="004A10BD" w:rsidRDefault="0010466D" w:rsidP="00B6233F">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6ABB4D4B" w14:textId="77777777" w:rsidR="008423E4" w:rsidRPr="00E21FDC" w:rsidRDefault="008423E4" w:rsidP="00B6233F">
            <w:pPr>
              <w:rPr>
                <w:b/>
              </w:rPr>
            </w:pPr>
          </w:p>
        </w:tc>
      </w:tr>
      <w:tr w:rsidR="002A6AAE" w14:paraId="332946E5" w14:textId="77777777" w:rsidTr="005C790A">
        <w:tc>
          <w:tcPr>
            <w:tcW w:w="9576" w:type="dxa"/>
          </w:tcPr>
          <w:p w14:paraId="0F64DF2F" w14:textId="77777777" w:rsidR="008423E4" w:rsidRPr="00A8133F" w:rsidRDefault="0010466D" w:rsidP="00B6233F">
            <w:pPr>
              <w:rPr>
                <w:b/>
              </w:rPr>
            </w:pPr>
            <w:r w:rsidRPr="009C1E9A">
              <w:rPr>
                <w:b/>
                <w:u w:val="single"/>
              </w:rPr>
              <w:t>ANALYSIS</w:t>
            </w:r>
            <w:r>
              <w:rPr>
                <w:b/>
              </w:rPr>
              <w:t xml:space="preserve"> </w:t>
            </w:r>
          </w:p>
          <w:p w14:paraId="2BD2BFE7" w14:textId="77777777" w:rsidR="008423E4" w:rsidRDefault="008423E4" w:rsidP="00B6233F"/>
          <w:p w14:paraId="4F18D2BD" w14:textId="745F52A0" w:rsidR="009C36CD" w:rsidRDefault="0010466D" w:rsidP="00B6233F">
            <w:pPr>
              <w:pStyle w:val="Header"/>
              <w:tabs>
                <w:tab w:val="clear" w:pos="4320"/>
                <w:tab w:val="clear" w:pos="8640"/>
              </w:tabs>
              <w:jc w:val="both"/>
            </w:pPr>
            <w:r>
              <w:t xml:space="preserve">H.B. 5323 amends the Utilities Code to create the Texas Energy Waste Advisory Committee to make </w:t>
            </w:r>
            <w:r w:rsidRPr="00962ABF">
              <w:t>recommendations for coordinating and improving state agency and interagency programs that reduce energy waste, increase energy efficiency, and enhance demand response programs in order to increase reliability of electric service in the ERCOT power region in accordance</w:t>
            </w:r>
            <w:r w:rsidR="000F132E">
              <w:t xml:space="preserve"> with statutory provisions relating to power region reliability and dispatchable generation. The bill establishes </w:t>
            </w:r>
            <w:r w:rsidR="003C5CD7">
              <w:t xml:space="preserve">that </w:t>
            </w:r>
            <w:r w:rsidR="000F132E">
              <w:t>the committee is composed of seven ex officio members as follows:</w:t>
            </w:r>
          </w:p>
          <w:p w14:paraId="14D98FAF" w14:textId="5339C3C6" w:rsidR="000F132E" w:rsidRDefault="0010466D" w:rsidP="00B6233F">
            <w:pPr>
              <w:pStyle w:val="Header"/>
              <w:numPr>
                <w:ilvl w:val="0"/>
                <w:numId w:val="1"/>
              </w:numPr>
              <w:jc w:val="both"/>
            </w:pPr>
            <w:r>
              <w:t>the presiding officer of the Public Utility Commission of Texas (PUC);</w:t>
            </w:r>
          </w:p>
          <w:p w14:paraId="6FCD6CFC" w14:textId="436112A1" w:rsidR="000F132E" w:rsidRDefault="0010466D" w:rsidP="00B6233F">
            <w:pPr>
              <w:pStyle w:val="Header"/>
              <w:numPr>
                <w:ilvl w:val="0"/>
                <w:numId w:val="1"/>
              </w:numPr>
              <w:jc w:val="both"/>
            </w:pPr>
            <w:r>
              <w:t>the chief executive officer of ERCOT;</w:t>
            </w:r>
          </w:p>
          <w:p w14:paraId="07F75881" w14:textId="5CFEADD8" w:rsidR="000F132E" w:rsidRDefault="0010466D" w:rsidP="00B6233F">
            <w:pPr>
              <w:pStyle w:val="Header"/>
              <w:numPr>
                <w:ilvl w:val="0"/>
                <w:numId w:val="1"/>
              </w:numPr>
              <w:jc w:val="both"/>
            </w:pPr>
            <w:r>
              <w:t>the comptroller of public accounts;</w:t>
            </w:r>
          </w:p>
          <w:p w14:paraId="3C9FF533" w14:textId="0D658A5D" w:rsidR="000F132E" w:rsidRDefault="0010466D" w:rsidP="00B6233F">
            <w:pPr>
              <w:pStyle w:val="Header"/>
              <w:numPr>
                <w:ilvl w:val="0"/>
                <w:numId w:val="1"/>
              </w:numPr>
              <w:jc w:val="both"/>
            </w:pPr>
            <w:r>
              <w:t>the executive director of the Texas Department of Licensing and Regulation</w:t>
            </w:r>
            <w:r w:rsidR="004A10BD">
              <w:t xml:space="preserve"> (TDLR)</w:t>
            </w:r>
            <w:r>
              <w:t>;</w:t>
            </w:r>
          </w:p>
          <w:p w14:paraId="785FEED4" w14:textId="59D459B2" w:rsidR="000F132E" w:rsidRDefault="0010466D" w:rsidP="00B6233F">
            <w:pPr>
              <w:pStyle w:val="Header"/>
              <w:numPr>
                <w:ilvl w:val="0"/>
                <w:numId w:val="1"/>
              </w:numPr>
              <w:jc w:val="both"/>
            </w:pPr>
            <w:r>
              <w:t>the director of the Texas Department of Housing and Community Affairs</w:t>
            </w:r>
            <w:r w:rsidR="004A10BD">
              <w:t xml:space="preserve"> (TDHCA)</w:t>
            </w:r>
            <w:r>
              <w:t>;</w:t>
            </w:r>
          </w:p>
          <w:p w14:paraId="03B3724E" w14:textId="2A704EA4" w:rsidR="000F132E" w:rsidRDefault="0010466D" w:rsidP="00B6233F">
            <w:pPr>
              <w:pStyle w:val="Header"/>
              <w:numPr>
                <w:ilvl w:val="0"/>
                <w:numId w:val="1"/>
              </w:numPr>
              <w:jc w:val="both"/>
            </w:pPr>
            <w:r>
              <w:t>the presiding officer of the Texas Commission on Environmental Quality</w:t>
            </w:r>
            <w:r w:rsidR="004A10BD">
              <w:t xml:space="preserve"> (TCEQ)</w:t>
            </w:r>
            <w:r>
              <w:t>; and</w:t>
            </w:r>
          </w:p>
          <w:p w14:paraId="22CFCA36" w14:textId="6FAC95D7" w:rsidR="000F132E" w:rsidRDefault="0010466D" w:rsidP="00B6233F">
            <w:pPr>
              <w:pStyle w:val="Header"/>
              <w:numPr>
                <w:ilvl w:val="0"/>
                <w:numId w:val="1"/>
              </w:numPr>
              <w:tabs>
                <w:tab w:val="clear" w:pos="4320"/>
                <w:tab w:val="clear" w:pos="8640"/>
              </w:tabs>
              <w:jc w:val="both"/>
            </w:pPr>
            <w:r>
              <w:t>the commissioner of the General Land Office</w:t>
            </w:r>
            <w:r w:rsidR="004A10BD">
              <w:t xml:space="preserve"> (GLO)</w:t>
            </w:r>
            <w:r>
              <w:t>.</w:t>
            </w:r>
          </w:p>
          <w:p w14:paraId="545D0B80" w14:textId="00FEE0DA" w:rsidR="000F132E" w:rsidRDefault="0010466D" w:rsidP="00B6233F">
            <w:pPr>
              <w:pStyle w:val="Header"/>
              <w:tabs>
                <w:tab w:val="clear" w:pos="4320"/>
                <w:tab w:val="clear" w:pos="8640"/>
              </w:tabs>
              <w:jc w:val="both"/>
            </w:pPr>
            <w:r>
              <w:t xml:space="preserve">The bill authorizes an ex officio member to designate an employee of the member's agency or office to serve in the member's place, and requires the presiding officer of the PUC or an employee of the PUC designated by the presiding officer to serve as the chair of the committee. The bill requires the committee to meet quarterly at the call of the chair. </w:t>
            </w:r>
          </w:p>
          <w:p w14:paraId="488CAFBF" w14:textId="77777777" w:rsidR="000F132E" w:rsidRDefault="000F132E" w:rsidP="00B6233F">
            <w:pPr>
              <w:pStyle w:val="Header"/>
              <w:tabs>
                <w:tab w:val="clear" w:pos="4320"/>
                <w:tab w:val="clear" w:pos="8640"/>
              </w:tabs>
              <w:jc w:val="both"/>
            </w:pPr>
          </w:p>
          <w:p w14:paraId="052C859A" w14:textId="05289A46" w:rsidR="000F132E" w:rsidRDefault="0010466D" w:rsidP="00B6233F">
            <w:pPr>
              <w:pStyle w:val="Header"/>
              <w:tabs>
                <w:tab w:val="clear" w:pos="4320"/>
                <w:tab w:val="clear" w:pos="8640"/>
              </w:tabs>
              <w:jc w:val="both"/>
            </w:pPr>
            <w:r>
              <w:t xml:space="preserve">H.B. 5323 requires the committee, to </w:t>
            </w:r>
            <w:r w:rsidRPr="000F132E">
              <w:t>improve the reliability of electric service in the ERCOT power region</w:t>
            </w:r>
            <w:r>
              <w:t>, to</w:t>
            </w:r>
            <w:r w:rsidR="004A10BD">
              <w:t xml:space="preserve"> </w:t>
            </w:r>
            <w:r w:rsidR="004A10BD" w:rsidRPr="004A10BD">
              <w:t xml:space="preserve">solicit information from and make recommendations to the following state agencies and organizations regarding state programs that have the potential to reduce demand for electricity in the ERCOT wholesale market during high risk hours identified by the </w:t>
            </w:r>
            <w:r w:rsidR="004A10BD">
              <w:t>PUC</w:t>
            </w:r>
            <w:r w:rsidR="004A10BD" w:rsidRPr="004A10BD">
              <w:t>:</w:t>
            </w:r>
          </w:p>
          <w:p w14:paraId="06CD843B" w14:textId="5EAC22C7" w:rsidR="004A10BD" w:rsidRDefault="0010466D" w:rsidP="00B6233F">
            <w:pPr>
              <w:pStyle w:val="Header"/>
              <w:numPr>
                <w:ilvl w:val="0"/>
                <w:numId w:val="3"/>
              </w:numPr>
              <w:jc w:val="both"/>
            </w:pPr>
            <w:r>
              <w:t>the PUC;</w:t>
            </w:r>
          </w:p>
          <w:p w14:paraId="308C369F" w14:textId="0707DA8B" w:rsidR="004A10BD" w:rsidRDefault="0010466D" w:rsidP="00B6233F">
            <w:pPr>
              <w:pStyle w:val="Header"/>
              <w:numPr>
                <w:ilvl w:val="0"/>
                <w:numId w:val="3"/>
              </w:numPr>
              <w:jc w:val="both"/>
            </w:pPr>
            <w:r>
              <w:t>ERCOT;</w:t>
            </w:r>
          </w:p>
          <w:p w14:paraId="54418E51" w14:textId="0695E419" w:rsidR="004A10BD" w:rsidRDefault="0010466D" w:rsidP="00B6233F">
            <w:pPr>
              <w:pStyle w:val="Header"/>
              <w:numPr>
                <w:ilvl w:val="0"/>
                <w:numId w:val="3"/>
              </w:numPr>
              <w:jc w:val="both"/>
            </w:pPr>
            <w:r>
              <w:t>the comptroller;</w:t>
            </w:r>
          </w:p>
          <w:p w14:paraId="21D5E9F3" w14:textId="77777777" w:rsidR="004A10BD" w:rsidRDefault="0010466D" w:rsidP="00B6233F">
            <w:pPr>
              <w:pStyle w:val="Header"/>
              <w:numPr>
                <w:ilvl w:val="0"/>
                <w:numId w:val="3"/>
              </w:numPr>
              <w:jc w:val="both"/>
            </w:pPr>
            <w:r>
              <w:t>the State Energy Conservation Office;</w:t>
            </w:r>
          </w:p>
          <w:p w14:paraId="08185077" w14:textId="184787BB" w:rsidR="004A10BD" w:rsidRDefault="0010466D" w:rsidP="00B6233F">
            <w:pPr>
              <w:pStyle w:val="Header"/>
              <w:numPr>
                <w:ilvl w:val="0"/>
                <w:numId w:val="3"/>
              </w:numPr>
              <w:jc w:val="both"/>
            </w:pPr>
            <w:r>
              <w:t>TDLR;</w:t>
            </w:r>
          </w:p>
          <w:p w14:paraId="7DF78E01" w14:textId="6F2B27D3" w:rsidR="004A10BD" w:rsidRDefault="0010466D" w:rsidP="00B6233F">
            <w:pPr>
              <w:pStyle w:val="Header"/>
              <w:numPr>
                <w:ilvl w:val="0"/>
                <w:numId w:val="3"/>
              </w:numPr>
              <w:jc w:val="both"/>
            </w:pPr>
            <w:r>
              <w:t>the TDHCA;</w:t>
            </w:r>
          </w:p>
          <w:p w14:paraId="00FE0A33" w14:textId="65C6CA15" w:rsidR="004A10BD" w:rsidRDefault="0010466D" w:rsidP="00B6233F">
            <w:pPr>
              <w:pStyle w:val="Header"/>
              <w:numPr>
                <w:ilvl w:val="0"/>
                <w:numId w:val="3"/>
              </w:numPr>
              <w:jc w:val="both"/>
            </w:pPr>
            <w:r>
              <w:t>the TCEQ; and</w:t>
            </w:r>
          </w:p>
          <w:p w14:paraId="50DEA97C" w14:textId="13A73317" w:rsidR="004A10BD" w:rsidRDefault="0010466D" w:rsidP="00B6233F">
            <w:pPr>
              <w:pStyle w:val="Header"/>
              <w:numPr>
                <w:ilvl w:val="0"/>
                <w:numId w:val="3"/>
              </w:numPr>
              <w:tabs>
                <w:tab w:val="clear" w:pos="4320"/>
                <w:tab w:val="clear" w:pos="8640"/>
              </w:tabs>
              <w:jc w:val="both"/>
            </w:pPr>
            <w:r>
              <w:t>the GLO.</w:t>
            </w:r>
          </w:p>
          <w:p w14:paraId="12BE0960" w14:textId="73535CB2" w:rsidR="003C5CD7" w:rsidRDefault="0010466D" w:rsidP="00B6233F">
            <w:pPr>
              <w:pStyle w:val="Header"/>
              <w:tabs>
                <w:tab w:val="clear" w:pos="4320"/>
                <w:tab w:val="clear" w:pos="8640"/>
              </w:tabs>
              <w:jc w:val="both"/>
            </w:pPr>
            <w:r>
              <w:t xml:space="preserve">The bill requires the PUC to </w:t>
            </w:r>
            <w:r w:rsidRPr="004A10BD">
              <w:t>provide the committee with administrative support, including meeting space and staff necessary to assist the committee in carrying out the committee's dutie</w:t>
            </w:r>
            <w:r>
              <w:t xml:space="preserve">s under the bill's </w:t>
            </w:r>
            <w:r>
              <w:t xml:space="preserve">provisions. </w:t>
            </w:r>
          </w:p>
          <w:p w14:paraId="02984296" w14:textId="77777777" w:rsidR="003C5CD7" w:rsidRDefault="003C5CD7" w:rsidP="00B6233F">
            <w:pPr>
              <w:pStyle w:val="Header"/>
              <w:tabs>
                <w:tab w:val="clear" w:pos="4320"/>
                <w:tab w:val="clear" w:pos="8640"/>
              </w:tabs>
              <w:jc w:val="both"/>
            </w:pPr>
          </w:p>
          <w:p w14:paraId="20ACAE38" w14:textId="56F4076D" w:rsidR="004A10BD" w:rsidRDefault="0010466D" w:rsidP="00B6233F">
            <w:pPr>
              <w:pStyle w:val="Header"/>
              <w:tabs>
                <w:tab w:val="clear" w:pos="4320"/>
                <w:tab w:val="clear" w:pos="8640"/>
              </w:tabs>
              <w:jc w:val="both"/>
            </w:pPr>
            <w:r>
              <w:t>H.B. 5323 establishes that the committee is not subject to state open meetings law or state public information law, but subjects i</w:t>
            </w:r>
            <w:r w:rsidRPr="004A10BD">
              <w:t>nformation written, produced, collected, assembled, or maintained under law or in connection with the transaction of official business by the committee or an officer or employee of the committee</w:t>
            </w:r>
            <w:r>
              <w:t xml:space="preserve"> to Government Code provisions relating to information for legislative purposes in the same manner as public information. </w:t>
            </w:r>
          </w:p>
          <w:p w14:paraId="7B57F355" w14:textId="77777777" w:rsidR="004A10BD" w:rsidRDefault="004A10BD" w:rsidP="00B6233F">
            <w:pPr>
              <w:pStyle w:val="Header"/>
              <w:tabs>
                <w:tab w:val="clear" w:pos="4320"/>
                <w:tab w:val="clear" w:pos="8640"/>
              </w:tabs>
              <w:jc w:val="both"/>
            </w:pPr>
          </w:p>
          <w:p w14:paraId="5A25BD34" w14:textId="6ACDCE11" w:rsidR="004A10BD" w:rsidRPr="009C36CD" w:rsidRDefault="0010466D" w:rsidP="00B6233F">
            <w:pPr>
              <w:pStyle w:val="Header"/>
              <w:tabs>
                <w:tab w:val="clear" w:pos="4320"/>
                <w:tab w:val="clear" w:pos="8640"/>
              </w:tabs>
              <w:jc w:val="both"/>
            </w:pPr>
            <w:r>
              <w:t>H.B. 5323 requires the committee</w:t>
            </w:r>
            <w:r w:rsidR="003C5CD7">
              <w:t>,</w:t>
            </w:r>
            <w:r>
              <w:t xml:space="preserve"> </w:t>
            </w:r>
            <w:r w:rsidR="003C5CD7">
              <w:t xml:space="preserve">not later than September 1 of each even-numbered year, </w:t>
            </w:r>
            <w:r>
              <w:t xml:space="preserve">to provide to the legislature a report on the committee's activities and recommendations. </w:t>
            </w:r>
          </w:p>
          <w:p w14:paraId="065983FD" w14:textId="77777777" w:rsidR="008423E4" w:rsidRPr="00835628" w:rsidRDefault="008423E4" w:rsidP="00B6233F">
            <w:pPr>
              <w:rPr>
                <w:b/>
              </w:rPr>
            </w:pPr>
          </w:p>
        </w:tc>
      </w:tr>
      <w:tr w:rsidR="002A6AAE" w14:paraId="15EEB68D" w14:textId="77777777" w:rsidTr="005C790A">
        <w:tc>
          <w:tcPr>
            <w:tcW w:w="9576" w:type="dxa"/>
          </w:tcPr>
          <w:p w14:paraId="51918BB1" w14:textId="77777777" w:rsidR="008423E4" w:rsidRPr="00A8133F" w:rsidRDefault="0010466D" w:rsidP="00B6233F">
            <w:pPr>
              <w:rPr>
                <w:b/>
              </w:rPr>
            </w:pPr>
            <w:r w:rsidRPr="009C1E9A">
              <w:rPr>
                <w:b/>
                <w:u w:val="single"/>
              </w:rPr>
              <w:t>EFFECTIVE DATE</w:t>
            </w:r>
            <w:r>
              <w:rPr>
                <w:b/>
              </w:rPr>
              <w:t xml:space="preserve"> </w:t>
            </w:r>
          </w:p>
          <w:p w14:paraId="57A8F099" w14:textId="77777777" w:rsidR="008423E4" w:rsidRDefault="008423E4" w:rsidP="00B6233F"/>
          <w:p w14:paraId="0722FB9F" w14:textId="300392BD" w:rsidR="008423E4" w:rsidRPr="003624F2" w:rsidRDefault="0010466D" w:rsidP="00B6233F">
            <w:pPr>
              <w:pStyle w:val="Header"/>
              <w:tabs>
                <w:tab w:val="clear" w:pos="4320"/>
                <w:tab w:val="clear" w:pos="8640"/>
              </w:tabs>
              <w:jc w:val="both"/>
            </w:pPr>
            <w:r>
              <w:t>September 1, 2025.</w:t>
            </w:r>
          </w:p>
          <w:p w14:paraId="641BB4A9" w14:textId="77777777" w:rsidR="008423E4" w:rsidRPr="00233FDB" w:rsidRDefault="008423E4" w:rsidP="00B6233F">
            <w:pPr>
              <w:rPr>
                <w:b/>
              </w:rPr>
            </w:pPr>
          </w:p>
        </w:tc>
      </w:tr>
    </w:tbl>
    <w:p w14:paraId="01DDFC12" w14:textId="77777777" w:rsidR="008423E4" w:rsidRPr="00BE0E75" w:rsidRDefault="008423E4" w:rsidP="00B6233F">
      <w:pPr>
        <w:jc w:val="both"/>
        <w:rPr>
          <w:rFonts w:ascii="Arial" w:hAnsi="Arial"/>
          <w:sz w:val="16"/>
          <w:szCs w:val="16"/>
        </w:rPr>
      </w:pPr>
    </w:p>
    <w:p w14:paraId="3C1BDE89" w14:textId="77777777" w:rsidR="004108C3" w:rsidRPr="008423E4" w:rsidRDefault="004108C3" w:rsidP="00B6233F"/>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E0746" w14:textId="77777777" w:rsidR="0010466D" w:rsidRDefault="0010466D">
      <w:r>
        <w:separator/>
      </w:r>
    </w:p>
  </w:endnote>
  <w:endnote w:type="continuationSeparator" w:id="0">
    <w:p w14:paraId="100E17E4" w14:textId="77777777" w:rsidR="0010466D" w:rsidRDefault="00104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D333D"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2A6AAE" w14:paraId="20BD30A5" w14:textId="77777777" w:rsidTr="009C1E9A">
      <w:trPr>
        <w:cantSplit/>
      </w:trPr>
      <w:tc>
        <w:tcPr>
          <w:tcW w:w="0" w:type="pct"/>
        </w:tcPr>
        <w:p w14:paraId="3F46FE76" w14:textId="77777777" w:rsidR="00137D90" w:rsidRDefault="00137D90" w:rsidP="009C1E9A">
          <w:pPr>
            <w:pStyle w:val="Footer"/>
            <w:tabs>
              <w:tab w:val="clear" w:pos="8640"/>
              <w:tab w:val="right" w:pos="9360"/>
            </w:tabs>
          </w:pPr>
        </w:p>
      </w:tc>
      <w:tc>
        <w:tcPr>
          <w:tcW w:w="2395" w:type="pct"/>
        </w:tcPr>
        <w:p w14:paraId="219CCB43" w14:textId="77777777" w:rsidR="00137D90" w:rsidRDefault="00137D90" w:rsidP="009C1E9A">
          <w:pPr>
            <w:pStyle w:val="Footer"/>
            <w:tabs>
              <w:tab w:val="clear" w:pos="8640"/>
              <w:tab w:val="right" w:pos="9360"/>
            </w:tabs>
          </w:pPr>
        </w:p>
        <w:p w14:paraId="172E8D61" w14:textId="77777777" w:rsidR="001A4310" w:rsidRDefault="001A4310" w:rsidP="009C1E9A">
          <w:pPr>
            <w:pStyle w:val="Footer"/>
            <w:tabs>
              <w:tab w:val="clear" w:pos="8640"/>
              <w:tab w:val="right" w:pos="9360"/>
            </w:tabs>
          </w:pPr>
        </w:p>
        <w:p w14:paraId="6FF27304" w14:textId="77777777" w:rsidR="00137D90" w:rsidRDefault="00137D90" w:rsidP="009C1E9A">
          <w:pPr>
            <w:pStyle w:val="Footer"/>
            <w:tabs>
              <w:tab w:val="clear" w:pos="8640"/>
              <w:tab w:val="right" w:pos="9360"/>
            </w:tabs>
          </w:pPr>
        </w:p>
      </w:tc>
      <w:tc>
        <w:tcPr>
          <w:tcW w:w="2453" w:type="pct"/>
        </w:tcPr>
        <w:p w14:paraId="433343CF" w14:textId="77777777" w:rsidR="00137D90" w:rsidRDefault="00137D90" w:rsidP="009C1E9A">
          <w:pPr>
            <w:pStyle w:val="Footer"/>
            <w:tabs>
              <w:tab w:val="clear" w:pos="8640"/>
              <w:tab w:val="right" w:pos="9360"/>
            </w:tabs>
            <w:jc w:val="right"/>
          </w:pPr>
        </w:p>
      </w:tc>
    </w:tr>
    <w:tr w:rsidR="002A6AAE" w14:paraId="548EE04B" w14:textId="77777777" w:rsidTr="009C1E9A">
      <w:trPr>
        <w:cantSplit/>
      </w:trPr>
      <w:tc>
        <w:tcPr>
          <w:tcW w:w="0" w:type="pct"/>
        </w:tcPr>
        <w:p w14:paraId="14FFF89E" w14:textId="77777777" w:rsidR="00EC379B" w:rsidRDefault="00EC379B" w:rsidP="009C1E9A">
          <w:pPr>
            <w:pStyle w:val="Footer"/>
            <w:tabs>
              <w:tab w:val="clear" w:pos="8640"/>
              <w:tab w:val="right" w:pos="9360"/>
            </w:tabs>
          </w:pPr>
        </w:p>
      </w:tc>
      <w:tc>
        <w:tcPr>
          <w:tcW w:w="2395" w:type="pct"/>
        </w:tcPr>
        <w:p w14:paraId="3AF19499" w14:textId="39A0FE2A" w:rsidR="00EC379B" w:rsidRPr="009C1E9A" w:rsidRDefault="0010466D" w:rsidP="009C1E9A">
          <w:pPr>
            <w:pStyle w:val="Footer"/>
            <w:tabs>
              <w:tab w:val="clear" w:pos="8640"/>
              <w:tab w:val="right" w:pos="9360"/>
            </w:tabs>
            <w:rPr>
              <w:rFonts w:ascii="Shruti" w:hAnsi="Shruti"/>
              <w:sz w:val="22"/>
            </w:rPr>
          </w:pPr>
          <w:r>
            <w:rPr>
              <w:rFonts w:ascii="Shruti" w:hAnsi="Shruti"/>
              <w:sz w:val="22"/>
            </w:rPr>
            <w:t>89R 26247-D</w:t>
          </w:r>
        </w:p>
      </w:tc>
      <w:tc>
        <w:tcPr>
          <w:tcW w:w="2453" w:type="pct"/>
        </w:tcPr>
        <w:p w14:paraId="60DE8B32" w14:textId="03E1579A" w:rsidR="00EC379B" w:rsidRDefault="0010466D" w:rsidP="009C1E9A">
          <w:pPr>
            <w:pStyle w:val="Footer"/>
            <w:tabs>
              <w:tab w:val="clear" w:pos="8640"/>
              <w:tab w:val="right" w:pos="9360"/>
            </w:tabs>
            <w:jc w:val="right"/>
          </w:pPr>
          <w:r>
            <w:fldChar w:fldCharType="begin"/>
          </w:r>
          <w:r>
            <w:instrText xml:space="preserve"> DOCPROPERTY  OTID  \* MERGEFORMAT </w:instrText>
          </w:r>
          <w:r>
            <w:fldChar w:fldCharType="separate"/>
          </w:r>
          <w:r w:rsidR="00B6233F">
            <w:t>25.115.1560</w:t>
          </w:r>
          <w:r>
            <w:fldChar w:fldCharType="end"/>
          </w:r>
        </w:p>
      </w:tc>
    </w:tr>
    <w:tr w:rsidR="002A6AAE" w14:paraId="00B42568" w14:textId="77777777" w:rsidTr="009C1E9A">
      <w:trPr>
        <w:cantSplit/>
      </w:trPr>
      <w:tc>
        <w:tcPr>
          <w:tcW w:w="0" w:type="pct"/>
        </w:tcPr>
        <w:p w14:paraId="083F8301" w14:textId="77777777" w:rsidR="00EC379B" w:rsidRDefault="00EC379B" w:rsidP="009C1E9A">
          <w:pPr>
            <w:pStyle w:val="Footer"/>
            <w:tabs>
              <w:tab w:val="clear" w:pos="4320"/>
              <w:tab w:val="clear" w:pos="8640"/>
              <w:tab w:val="left" w:pos="2865"/>
            </w:tabs>
          </w:pPr>
        </w:p>
      </w:tc>
      <w:tc>
        <w:tcPr>
          <w:tcW w:w="2395" w:type="pct"/>
        </w:tcPr>
        <w:p w14:paraId="0791641B"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6FBA0FC3" w14:textId="77777777" w:rsidR="00EC379B" w:rsidRDefault="00EC379B" w:rsidP="006D504F">
          <w:pPr>
            <w:pStyle w:val="Footer"/>
            <w:rPr>
              <w:rStyle w:val="PageNumber"/>
            </w:rPr>
          </w:pPr>
        </w:p>
        <w:p w14:paraId="4FFB8F45" w14:textId="77777777" w:rsidR="00EC379B" w:rsidRDefault="00EC379B" w:rsidP="009C1E9A">
          <w:pPr>
            <w:pStyle w:val="Footer"/>
            <w:tabs>
              <w:tab w:val="clear" w:pos="8640"/>
              <w:tab w:val="right" w:pos="9360"/>
            </w:tabs>
            <w:jc w:val="right"/>
          </w:pPr>
        </w:p>
      </w:tc>
    </w:tr>
    <w:tr w:rsidR="002A6AAE" w14:paraId="4FED7EB0" w14:textId="77777777" w:rsidTr="009C1E9A">
      <w:trPr>
        <w:cantSplit/>
        <w:trHeight w:val="323"/>
      </w:trPr>
      <w:tc>
        <w:tcPr>
          <w:tcW w:w="0" w:type="pct"/>
          <w:gridSpan w:val="3"/>
        </w:tcPr>
        <w:p w14:paraId="1A0BCA5F" w14:textId="77777777" w:rsidR="00EC379B" w:rsidRDefault="0010466D"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15F4BD8" w14:textId="77777777" w:rsidR="00EC379B" w:rsidRDefault="00EC379B" w:rsidP="009C1E9A">
          <w:pPr>
            <w:pStyle w:val="Footer"/>
            <w:tabs>
              <w:tab w:val="clear" w:pos="8640"/>
              <w:tab w:val="right" w:pos="9360"/>
            </w:tabs>
            <w:jc w:val="center"/>
          </w:pPr>
        </w:p>
      </w:tc>
    </w:tr>
  </w:tbl>
  <w:p w14:paraId="65220698"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BBFBE"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77D66" w14:textId="77777777" w:rsidR="0010466D" w:rsidRDefault="0010466D">
      <w:r>
        <w:separator/>
      </w:r>
    </w:p>
  </w:footnote>
  <w:footnote w:type="continuationSeparator" w:id="0">
    <w:p w14:paraId="3DB7D5FA" w14:textId="77777777" w:rsidR="0010466D" w:rsidRDefault="00104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488D1"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C566"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CEF2C"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1207B"/>
    <w:multiLevelType w:val="hybridMultilevel"/>
    <w:tmpl w:val="7076E604"/>
    <w:lvl w:ilvl="0" w:tplc="1F5EDD3A">
      <w:start w:val="1"/>
      <w:numFmt w:val="decimal"/>
      <w:lvlText w:val="(%1)"/>
      <w:lvlJc w:val="left"/>
      <w:pPr>
        <w:ind w:left="758" w:hanging="398"/>
      </w:pPr>
      <w:rPr>
        <w:rFonts w:hint="default"/>
      </w:rPr>
    </w:lvl>
    <w:lvl w:ilvl="1" w:tplc="B7526750" w:tentative="1">
      <w:start w:val="1"/>
      <w:numFmt w:val="lowerLetter"/>
      <w:lvlText w:val="%2."/>
      <w:lvlJc w:val="left"/>
      <w:pPr>
        <w:ind w:left="1440" w:hanging="360"/>
      </w:pPr>
    </w:lvl>
    <w:lvl w:ilvl="2" w:tplc="DC06707A" w:tentative="1">
      <w:start w:val="1"/>
      <w:numFmt w:val="lowerRoman"/>
      <w:lvlText w:val="%3."/>
      <w:lvlJc w:val="right"/>
      <w:pPr>
        <w:ind w:left="2160" w:hanging="180"/>
      </w:pPr>
    </w:lvl>
    <w:lvl w:ilvl="3" w:tplc="784C5FDE" w:tentative="1">
      <w:start w:val="1"/>
      <w:numFmt w:val="decimal"/>
      <w:lvlText w:val="%4."/>
      <w:lvlJc w:val="left"/>
      <w:pPr>
        <w:ind w:left="2880" w:hanging="360"/>
      </w:pPr>
    </w:lvl>
    <w:lvl w:ilvl="4" w:tplc="6276A88A" w:tentative="1">
      <w:start w:val="1"/>
      <w:numFmt w:val="lowerLetter"/>
      <w:lvlText w:val="%5."/>
      <w:lvlJc w:val="left"/>
      <w:pPr>
        <w:ind w:left="3600" w:hanging="360"/>
      </w:pPr>
    </w:lvl>
    <w:lvl w:ilvl="5" w:tplc="557E13A4" w:tentative="1">
      <w:start w:val="1"/>
      <w:numFmt w:val="lowerRoman"/>
      <w:lvlText w:val="%6."/>
      <w:lvlJc w:val="right"/>
      <w:pPr>
        <w:ind w:left="4320" w:hanging="180"/>
      </w:pPr>
    </w:lvl>
    <w:lvl w:ilvl="6" w:tplc="F7B21AD6" w:tentative="1">
      <w:start w:val="1"/>
      <w:numFmt w:val="decimal"/>
      <w:lvlText w:val="%7."/>
      <w:lvlJc w:val="left"/>
      <w:pPr>
        <w:ind w:left="5040" w:hanging="360"/>
      </w:pPr>
    </w:lvl>
    <w:lvl w:ilvl="7" w:tplc="E0580C22" w:tentative="1">
      <w:start w:val="1"/>
      <w:numFmt w:val="lowerLetter"/>
      <w:lvlText w:val="%8."/>
      <w:lvlJc w:val="left"/>
      <w:pPr>
        <w:ind w:left="5760" w:hanging="360"/>
      </w:pPr>
    </w:lvl>
    <w:lvl w:ilvl="8" w:tplc="EA429510" w:tentative="1">
      <w:start w:val="1"/>
      <w:numFmt w:val="lowerRoman"/>
      <w:lvlText w:val="%9."/>
      <w:lvlJc w:val="right"/>
      <w:pPr>
        <w:ind w:left="6480" w:hanging="180"/>
      </w:pPr>
    </w:lvl>
  </w:abstractNum>
  <w:abstractNum w:abstractNumId="1" w15:restartNumberingAfterBreak="0">
    <w:nsid w:val="363F5913"/>
    <w:multiLevelType w:val="hybridMultilevel"/>
    <w:tmpl w:val="8174A0F2"/>
    <w:lvl w:ilvl="0" w:tplc="AA228AF4">
      <w:start w:val="1"/>
      <w:numFmt w:val="decimal"/>
      <w:lvlText w:val="(%1)"/>
      <w:lvlJc w:val="left"/>
      <w:pPr>
        <w:ind w:left="758" w:hanging="398"/>
      </w:pPr>
      <w:rPr>
        <w:rFonts w:hint="default"/>
      </w:rPr>
    </w:lvl>
    <w:lvl w:ilvl="1" w:tplc="551801D2" w:tentative="1">
      <w:start w:val="1"/>
      <w:numFmt w:val="lowerLetter"/>
      <w:lvlText w:val="%2."/>
      <w:lvlJc w:val="left"/>
      <w:pPr>
        <w:ind w:left="1440" w:hanging="360"/>
      </w:pPr>
    </w:lvl>
    <w:lvl w:ilvl="2" w:tplc="10503944" w:tentative="1">
      <w:start w:val="1"/>
      <w:numFmt w:val="lowerRoman"/>
      <w:lvlText w:val="%3."/>
      <w:lvlJc w:val="right"/>
      <w:pPr>
        <w:ind w:left="2160" w:hanging="180"/>
      </w:pPr>
    </w:lvl>
    <w:lvl w:ilvl="3" w:tplc="605E5A1C" w:tentative="1">
      <w:start w:val="1"/>
      <w:numFmt w:val="decimal"/>
      <w:lvlText w:val="%4."/>
      <w:lvlJc w:val="left"/>
      <w:pPr>
        <w:ind w:left="2880" w:hanging="360"/>
      </w:pPr>
    </w:lvl>
    <w:lvl w:ilvl="4" w:tplc="75163FB2" w:tentative="1">
      <w:start w:val="1"/>
      <w:numFmt w:val="lowerLetter"/>
      <w:lvlText w:val="%5."/>
      <w:lvlJc w:val="left"/>
      <w:pPr>
        <w:ind w:left="3600" w:hanging="360"/>
      </w:pPr>
    </w:lvl>
    <w:lvl w:ilvl="5" w:tplc="E9A03ABA" w:tentative="1">
      <w:start w:val="1"/>
      <w:numFmt w:val="lowerRoman"/>
      <w:lvlText w:val="%6."/>
      <w:lvlJc w:val="right"/>
      <w:pPr>
        <w:ind w:left="4320" w:hanging="180"/>
      </w:pPr>
    </w:lvl>
    <w:lvl w:ilvl="6" w:tplc="6BA4F1C8" w:tentative="1">
      <w:start w:val="1"/>
      <w:numFmt w:val="decimal"/>
      <w:lvlText w:val="%7."/>
      <w:lvlJc w:val="left"/>
      <w:pPr>
        <w:ind w:left="5040" w:hanging="360"/>
      </w:pPr>
    </w:lvl>
    <w:lvl w:ilvl="7" w:tplc="203021A8" w:tentative="1">
      <w:start w:val="1"/>
      <w:numFmt w:val="lowerLetter"/>
      <w:lvlText w:val="%8."/>
      <w:lvlJc w:val="left"/>
      <w:pPr>
        <w:ind w:left="5760" w:hanging="360"/>
      </w:pPr>
    </w:lvl>
    <w:lvl w:ilvl="8" w:tplc="8E9A44F0" w:tentative="1">
      <w:start w:val="1"/>
      <w:numFmt w:val="lowerRoman"/>
      <w:lvlText w:val="%9."/>
      <w:lvlJc w:val="right"/>
      <w:pPr>
        <w:ind w:left="6480" w:hanging="180"/>
      </w:pPr>
    </w:lvl>
  </w:abstractNum>
  <w:abstractNum w:abstractNumId="2" w15:restartNumberingAfterBreak="0">
    <w:nsid w:val="39540E49"/>
    <w:multiLevelType w:val="hybridMultilevel"/>
    <w:tmpl w:val="4DF29F14"/>
    <w:lvl w:ilvl="0" w:tplc="2FD6A4B2">
      <w:start w:val="1"/>
      <w:numFmt w:val="bullet"/>
      <w:lvlText w:val=""/>
      <w:lvlJc w:val="left"/>
      <w:pPr>
        <w:tabs>
          <w:tab w:val="num" w:pos="720"/>
        </w:tabs>
        <w:ind w:left="720" w:hanging="360"/>
      </w:pPr>
      <w:rPr>
        <w:rFonts w:ascii="Symbol" w:hAnsi="Symbol" w:hint="default"/>
      </w:rPr>
    </w:lvl>
    <w:lvl w:ilvl="1" w:tplc="D578FDFE" w:tentative="1">
      <w:start w:val="1"/>
      <w:numFmt w:val="bullet"/>
      <w:lvlText w:val="o"/>
      <w:lvlJc w:val="left"/>
      <w:pPr>
        <w:ind w:left="1440" w:hanging="360"/>
      </w:pPr>
      <w:rPr>
        <w:rFonts w:ascii="Courier New" w:hAnsi="Courier New" w:cs="Courier New" w:hint="default"/>
      </w:rPr>
    </w:lvl>
    <w:lvl w:ilvl="2" w:tplc="809A3A80" w:tentative="1">
      <w:start w:val="1"/>
      <w:numFmt w:val="bullet"/>
      <w:lvlText w:val=""/>
      <w:lvlJc w:val="left"/>
      <w:pPr>
        <w:ind w:left="2160" w:hanging="360"/>
      </w:pPr>
      <w:rPr>
        <w:rFonts w:ascii="Wingdings" w:hAnsi="Wingdings" w:hint="default"/>
      </w:rPr>
    </w:lvl>
    <w:lvl w:ilvl="3" w:tplc="C608982A" w:tentative="1">
      <w:start w:val="1"/>
      <w:numFmt w:val="bullet"/>
      <w:lvlText w:val=""/>
      <w:lvlJc w:val="left"/>
      <w:pPr>
        <w:ind w:left="2880" w:hanging="360"/>
      </w:pPr>
      <w:rPr>
        <w:rFonts w:ascii="Symbol" w:hAnsi="Symbol" w:hint="default"/>
      </w:rPr>
    </w:lvl>
    <w:lvl w:ilvl="4" w:tplc="32649CCE" w:tentative="1">
      <w:start w:val="1"/>
      <w:numFmt w:val="bullet"/>
      <w:lvlText w:val="o"/>
      <w:lvlJc w:val="left"/>
      <w:pPr>
        <w:ind w:left="3600" w:hanging="360"/>
      </w:pPr>
      <w:rPr>
        <w:rFonts w:ascii="Courier New" w:hAnsi="Courier New" w:cs="Courier New" w:hint="default"/>
      </w:rPr>
    </w:lvl>
    <w:lvl w:ilvl="5" w:tplc="2DE4DD40" w:tentative="1">
      <w:start w:val="1"/>
      <w:numFmt w:val="bullet"/>
      <w:lvlText w:val=""/>
      <w:lvlJc w:val="left"/>
      <w:pPr>
        <w:ind w:left="4320" w:hanging="360"/>
      </w:pPr>
      <w:rPr>
        <w:rFonts w:ascii="Wingdings" w:hAnsi="Wingdings" w:hint="default"/>
      </w:rPr>
    </w:lvl>
    <w:lvl w:ilvl="6" w:tplc="736089D0" w:tentative="1">
      <w:start w:val="1"/>
      <w:numFmt w:val="bullet"/>
      <w:lvlText w:val=""/>
      <w:lvlJc w:val="left"/>
      <w:pPr>
        <w:ind w:left="5040" w:hanging="360"/>
      </w:pPr>
      <w:rPr>
        <w:rFonts w:ascii="Symbol" w:hAnsi="Symbol" w:hint="default"/>
      </w:rPr>
    </w:lvl>
    <w:lvl w:ilvl="7" w:tplc="7C9E3A3E" w:tentative="1">
      <w:start w:val="1"/>
      <w:numFmt w:val="bullet"/>
      <w:lvlText w:val="o"/>
      <w:lvlJc w:val="left"/>
      <w:pPr>
        <w:ind w:left="5760" w:hanging="360"/>
      </w:pPr>
      <w:rPr>
        <w:rFonts w:ascii="Courier New" w:hAnsi="Courier New" w:cs="Courier New" w:hint="default"/>
      </w:rPr>
    </w:lvl>
    <w:lvl w:ilvl="8" w:tplc="EB4C8090" w:tentative="1">
      <w:start w:val="1"/>
      <w:numFmt w:val="bullet"/>
      <w:lvlText w:val=""/>
      <w:lvlJc w:val="left"/>
      <w:pPr>
        <w:ind w:left="6480" w:hanging="360"/>
      </w:pPr>
      <w:rPr>
        <w:rFonts w:ascii="Wingdings" w:hAnsi="Wingdings" w:hint="default"/>
      </w:rPr>
    </w:lvl>
  </w:abstractNum>
  <w:abstractNum w:abstractNumId="3" w15:restartNumberingAfterBreak="0">
    <w:nsid w:val="72B137F9"/>
    <w:multiLevelType w:val="hybridMultilevel"/>
    <w:tmpl w:val="1B2E27F8"/>
    <w:lvl w:ilvl="0" w:tplc="5E704514">
      <w:start w:val="1"/>
      <w:numFmt w:val="bullet"/>
      <w:lvlText w:val=""/>
      <w:lvlJc w:val="left"/>
      <w:pPr>
        <w:tabs>
          <w:tab w:val="num" w:pos="720"/>
        </w:tabs>
        <w:ind w:left="720" w:hanging="360"/>
      </w:pPr>
      <w:rPr>
        <w:rFonts w:ascii="Symbol" w:hAnsi="Symbol" w:hint="default"/>
      </w:rPr>
    </w:lvl>
    <w:lvl w:ilvl="1" w:tplc="973692A0" w:tentative="1">
      <w:start w:val="1"/>
      <w:numFmt w:val="bullet"/>
      <w:lvlText w:val="o"/>
      <w:lvlJc w:val="left"/>
      <w:pPr>
        <w:ind w:left="1440" w:hanging="360"/>
      </w:pPr>
      <w:rPr>
        <w:rFonts w:ascii="Courier New" w:hAnsi="Courier New" w:cs="Courier New" w:hint="default"/>
      </w:rPr>
    </w:lvl>
    <w:lvl w:ilvl="2" w:tplc="7DCC9AB6" w:tentative="1">
      <w:start w:val="1"/>
      <w:numFmt w:val="bullet"/>
      <w:lvlText w:val=""/>
      <w:lvlJc w:val="left"/>
      <w:pPr>
        <w:ind w:left="2160" w:hanging="360"/>
      </w:pPr>
      <w:rPr>
        <w:rFonts w:ascii="Wingdings" w:hAnsi="Wingdings" w:hint="default"/>
      </w:rPr>
    </w:lvl>
    <w:lvl w:ilvl="3" w:tplc="C310E518" w:tentative="1">
      <w:start w:val="1"/>
      <w:numFmt w:val="bullet"/>
      <w:lvlText w:val=""/>
      <w:lvlJc w:val="left"/>
      <w:pPr>
        <w:ind w:left="2880" w:hanging="360"/>
      </w:pPr>
      <w:rPr>
        <w:rFonts w:ascii="Symbol" w:hAnsi="Symbol" w:hint="default"/>
      </w:rPr>
    </w:lvl>
    <w:lvl w:ilvl="4" w:tplc="71C055D2" w:tentative="1">
      <w:start w:val="1"/>
      <w:numFmt w:val="bullet"/>
      <w:lvlText w:val="o"/>
      <w:lvlJc w:val="left"/>
      <w:pPr>
        <w:ind w:left="3600" w:hanging="360"/>
      </w:pPr>
      <w:rPr>
        <w:rFonts w:ascii="Courier New" w:hAnsi="Courier New" w:cs="Courier New" w:hint="default"/>
      </w:rPr>
    </w:lvl>
    <w:lvl w:ilvl="5" w:tplc="EAD44DAC" w:tentative="1">
      <w:start w:val="1"/>
      <w:numFmt w:val="bullet"/>
      <w:lvlText w:val=""/>
      <w:lvlJc w:val="left"/>
      <w:pPr>
        <w:ind w:left="4320" w:hanging="360"/>
      </w:pPr>
      <w:rPr>
        <w:rFonts w:ascii="Wingdings" w:hAnsi="Wingdings" w:hint="default"/>
      </w:rPr>
    </w:lvl>
    <w:lvl w:ilvl="6" w:tplc="1278068C" w:tentative="1">
      <w:start w:val="1"/>
      <w:numFmt w:val="bullet"/>
      <w:lvlText w:val=""/>
      <w:lvlJc w:val="left"/>
      <w:pPr>
        <w:ind w:left="5040" w:hanging="360"/>
      </w:pPr>
      <w:rPr>
        <w:rFonts w:ascii="Symbol" w:hAnsi="Symbol" w:hint="default"/>
      </w:rPr>
    </w:lvl>
    <w:lvl w:ilvl="7" w:tplc="6C567602" w:tentative="1">
      <w:start w:val="1"/>
      <w:numFmt w:val="bullet"/>
      <w:lvlText w:val="o"/>
      <w:lvlJc w:val="left"/>
      <w:pPr>
        <w:ind w:left="5760" w:hanging="360"/>
      </w:pPr>
      <w:rPr>
        <w:rFonts w:ascii="Courier New" w:hAnsi="Courier New" w:cs="Courier New" w:hint="default"/>
      </w:rPr>
    </w:lvl>
    <w:lvl w:ilvl="8" w:tplc="AB8CB0A6" w:tentative="1">
      <w:start w:val="1"/>
      <w:numFmt w:val="bullet"/>
      <w:lvlText w:val=""/>
      <w:lvlJc w:val="left"/>
      <w:pPr>
        <w:ind w:left="6480" w:hanging="360"/>
      </w:pPr>
      <w:rPr>
        <w:rFonts w:ascii="Wingdings" w:hAnsi="Wingdings" w:hint="default"/>
      </w:rPr>
    </w:lvl>
  </w:abstractNum>
  <w:num w:numId="1" w16cid:durableId="1259564825">
    <w:abstractNumId w:val="2"/>
  </w:num>
  <w:num w:numId="2" w16cid:durableId="1863781137">
    <w:abstractNumId w:val="0"/>
  </w:num>
  <w:num w:numId="3" w16cid:durableId="993290542">
    <w:abstractNumId w:val="3"/>
  </w:num>
  <w:num w:numId="4" w16cid:durableId="1524130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17A"/>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4B7"/>
    <w:rsid w:val="00043B84"/>
    <w:rsid w:val="0004512B"/>
    <w:rsid w:val="000463F0"/>
    <w:rsid w:val="00046BDA"/>
    <w:rsid w:val="0004762E"/>
    <w:rsid w:val="000532BD"/>
    <w:rsid w:val="000555E0"/>
    <w:rsid w:val="00055C12"/>
    <w:rsid w:val="000608B0"/>
    <w:rsid w:val="00060CD4"/>
    <w:rsid w:val="0006104C"/>
    <w:rsid w:val="000634C8"/>
    <w:rsid w:val="00064BF2"/>
    <w:rsid w:val="000667BA"/>
    <w:rsid w:val="000676A7"/>
    <w:rsid w:val="00070C9C"/>
    <w:rsid w:val="00073914"/>
    <w:rsid w:val="00074236"/>
    <w:rsid w:val="000746BD"/>
    <w:rsid w:val="00076D7D"/>
    <w:rsid w:val="00080D95"/>
    <w:rsid w:val="00090E6B"/>
    <w:rsid w:val="00091B2C"/>
    <w:rsid w:val="00092ABC"/>
    <w:rsid w:val="00097AAF"/>
    <w:rsid w:val="00097D13"/>
    <w:rsid w:val="000A4893"/>
    <w:rsid w:val="000A54E0"/>
    <w:rsid w:val="000A58D9"/>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2E4"/>
    <w:rsid w:val="000F094C"/>
    <w:rsid w:val="000F132E"/>
    <w:rsid w:val="000F1392"/>
    <w:rsid w:val="000F18A2"/>
    <w:rsid w:val="000F2A7F"/>
    <w:rsid w:val="000F3DBD"/>
    <w:rsid w:val="000F5843"/>
    <w:rsid w:val="000F6A06"/>
    <w:rsid w:val="0010154D"/>
    <w:rsid w:val="00102D3F"/>
    <w:rsid w:val="00102EC7"/>
    <w:rsid w:val="0010347D"/>
    <w:rsid w:val="0010466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1B67"/>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662"/>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AAE"/>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1B90"/>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4DBE"/>
    <w:rsid w:val="00370155"/>
    <w:rsid w:val="003712D5"/>
    <w:rsid w:val="003747DF"/>
    <w:rsid w:val="00374E1C"/>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5CD7"/>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5A8"/>
    <w:rsid w:val="0049682B"/>
    <w:rsid w:val="004977A3"/>
    <w:rsid w:val="004A03F7"/>
    <w:rsid w:val="004A081C"/>
    <w:rsid w:val="004A10BD"/>
    <w:rsid w:val="004A123F"/>
    <w:rsid w:val="004A2172"/>
    <w:rsid w:val="004A239F"/>
    <w:rsid w:val="004B138F"/>
    <w:rsid w:val="004B412A"/>
    <w:rsid w:val="004B41FE"/>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389F"/>
    <w:rsid w:val="00505121"/>
    <w:rsid w:val="00505C04"/>
    <w:rsid w:val="00505F1B"/>
    <w:rsid w:val="005073E8"/>
    <w:rsid w:val="00510503"/>
    <w:rsid w:val="0051324D"/>
    <w:rsid w:val="00515466"/>
    <w:rsid w:val="005154F7"/>
    <w:rsid w:val="005159DE"/>
    <w:rsid w:val="00524B43"/>
    <w:rsid w:val="00524CF1"/>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90A"/>
    <w:rsid w:val="005C7CCB"/>
    <w:rsid w:val="005D1444"/>
    <w:rsid w:val="005D4DAE"/>
    <w:rsid w:val="005D767D"/>
    <w:rsid w:val="005D7A30"/>
    <w:rsid w:val="005D7D3B"/>
    <w:rsid w:val="005E1999"/>
    <w:rsid w:val="005E1A43"/>
    <w:rsid w:val="005E232C"/>
    <w:rsid w:val="005E2B83"/>
    <w:rsid w:val="005E4AEB"/>
    <w:rsid w:val="005E738F"/>
    <w:rsid w:val="005E788B"/>
    <w:rsid w:val="005F1519"/>
    <w:rsid w:val="005F4862"/>
    <w:rsid w:val="005F5679"/>
    <w:rsid w:val="005F5FDF"/>
    <w:rsid w:val="005F6960"/>
    <w:rsid w:val="005F7000"/>
    <w:rsid w:val="005F7AAA"/>
    <w:rsid w:val="00600BAA"/>
    <w:rsid w:val="00600DFF"/>
    <w:rsid w:val="006012DA"/>
    <w:rsid w:val="00603B0F"/>
    <w:rsid w:val="006049F5"/>
    <w:rsid w:val="00605F7B"/>
    <w:rsid w:val="00607E64"/>
    <w:rsid w:val="006106E9"/>
    <w:rsid w:val="0061159E"/>
    <w:rsid w:val="00614633"/>
    <w:rsid w:val="00614BC8"/>
    <w:rsid w:val="006151FB"/>
    <w:rsid w:val="00617390"/>
    <w:rsid w:val="00617411"/>
    <w:rsid w:val="006202DB"/>
    <w:rsid w:val="006249CB"/>
    <w:rsid w:val="006272DD"/>
    <w:rsid w:val="00630963"/>
    <w:rsid w:val="00631897"/>
    <w:rsid w:val="00632928"/>
    <w:rsid w:val="006330DA"/>
    <w:rsid w:val="00633262"/>
    <w:rsid w:val="00633460"/>
    <w:rsid w:val="00637517"/>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317A"/>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4264"/>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2ABF"/>
    <w:rsid w:val="0096482F"/>
    <w:rsid w:val="00964E3A"/>
    <w:rsid w:val="00967126"/>
    <w:rsid w:val="00970EAE"/>
    <w:rsid w:val="00971627"/>
    <w:rsid w:val="00972797"/>
    <w:rsid w:val="0097279D"/>
    <w:rsid w:val="00976837"/>
    <w:rsid w:val="00980311"/>
    <w:rsid w:val="0098170E"/>
    <w:rsid w:val="0098285C"/>
    <w:rsid w:val="00983B56"/>
    <w:rsid w:val="009845CF"/>
    <w:rsid w:val="009847FD"/>
    <w:rsid w:val="009851B3"/>
    <w:rsid w:val="00985300"/>
    <w:rsid w:val="00986720"/>
    <w:rsid w:val="00987F00"/>
    <w:rsid w:val="0099403D"/>
    <w:rsid w:val="00995B0B"/>
    <w:rsid w:val="009A1883"/>
    <w:rsid w:val="009A39F5"/>
    <w:rsid w:val="009A4588"/>
    <w:rsid w:val="009A5EA5"/>
    <w:rsid w:val="009B00C2"/>
    <w:rsid w:val="009B1C48"/>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4D7"/>
    <w:rsid w:val="009D5A41"/>
    <w:rsid w:val="009E13BF"/>
    <w:rsid w:val="009E17D9"/>
    <w:rsid w:val="009E3631"/>
    <w:rsid w:val="009E3EB9"/>
    <w:rsid w:val="009E69C2"/>
    <w:rsid w:val="009E70AF"/>
    <w:rsid w:val="009E7AEB"/>
    <w:rsid w:val="009F1B37"/>
    <w:rsid w:val="009F358B"/>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77E82"/>
    <w:rsid w:val="00A803CF"/>
    <w:rsid w:val="00A8133F"/>
    <w:rsid w:val="00A82CB4"/>
    <w:rsid w:val="00A837A8"/>
    <w:rsid w:val="00A83C36"/>
    <w:rsid w:val="00A929E5"/>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43672"/>
    <w:rsid w:val="00B473D8"/>
    <w:rsid w:val="00B47464"/>
    <w:rsid w:val="00B5154C"/>
    <w:rsid w:val="00B5165A"/>
    <w:rsid w:val="00B524C1"/>
    <w:rsid w:val="00B52C8D"/>
    <w:rsid w:val="00B564BF"/>
    <w:rsid w:val="00B6104E"/>
    <w:rsid w:val="00B610C7"/>
    <w:rsid w:val="00B62106"/>
    <w:rsid w:val="00B6233F"/>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5428"/>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5A8F"/>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9AF"/>
    <w:rsid w:val="00DF6BA8"/>
    <w:rsid w:val="00DF78EA"/>
    <w:rsid w:val="00DF7CA3"/>
    <w:rsid w:val="00DF7F0D"/>
    <w:rsid w:val="00DF7F3B"/>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6093"/>
    <w:rsid w:val="00F67981"/>
    <w:rsid w:val="00F706CA"/>
    <w:rsid w:val="00F70F8D"/>
    <w:rsid w:val="00F71C5A"/>
    <w:rsid w:val="00F733A4"/>
    <w:rsid w:val="00F7758F"/>
    <w:rsid w:val="00F82811"/>
    <w:rsid w:val="00F83F8D"/>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D3652"/>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67A6708-9ECB-4D1F-A1B7-77CACB25D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4A10BD"/>
    <w:rPr>
      <w:sz w:val="16"/>
      <w:szCs w:val="16"/>
    </w:rPr>
  </w:style>
  <w:style w:type="paragraph" w:styleId="CommentText">
    <w:name w:val="annotation text"/>
    <w:basedOn w:val="Normal"/>
    <w:link w:val="CommentTextChar"/>
    <w:unhideWhenUsed/>
    <w:rsid w:val="004A10BD"/>
    <w:rPr>
      <w:sz w:val="20"/>
      <w:szCs w:val="20"/>
    </w:rPr>
  </w:style>
  <w:style w:type="character" w:customStyle="1" w:styleId="CommentTextChar">
    <w:name w:val="Comment Text Char"/>
    <w:basedOn w:val="DefaultParagraphFont"/>
    <w:link w:val="CommentText"/>
    <w:rsid w:val="004A10BD"/>
  </w:style>
  <w:style w:type="paragraph" w:styleId="CommentSubject">
    <w:name w:val="annotation subject"/>
    <w:basedOn w:val="CommentText"/>
    <w:next w:val="CommentText"/>
    <w:link w:val="CommentSubjectChar"/>
    <w:semiHidden/>
    <w:unhideWhenUsed/>
    <w:rsid w:val="004A10BD"/>
    <w:rPr>
      <w:b/>
      <w:bCs/>
    </w:rPr>
  </w:style>
  <w:style w:type="character" w:customStyle="1" w:styleId="CommentSubjectChar">
    <w:name w:val="Comment Subject Char"/>
    <w:basedOn w:val="CommentTextChar"/>
    <w:link w:val="CommentSubject"/>
    <w:semiHidden/>
    <w:rsid w:val="004A10BD"/>
    <w:rPr>
      <w:b/>
      <w:bCs/>
    </w:rPr>
  </w:style>
  <w:style w:type="paragraph" w:styleId="Revision">
    <w:name w:val="Revision"/>
    <w:hidden/>
    <w:uiPriority w:val="99"/>
    <w:semiHidden/>
    <w:rsid w:val="003C5CD7"/>
    <w:rPr>
      <w:sz w:val="24"/>
      <w:szCs w:val="24"/>
    </w:rPr>
  </w:style>
  <w:style w:type="character" w:styleId="Hyperlink">
    <w:name w:val="Hyperlink"/>
    <w:basedOn w:val="DefaultParagraphFont"/>
    <w:unhideWhenUsed/>
    <w:rsid w:val="00D75A8F"/>
    <w:rPr>
      <w:color w:val="0000FF" w:themeColor="hyperlink"/>
      <w:u w:val="single"/>
    </w:rPr>
  </w:style>
  <w:style w:type="character" w:customStyle="1" w:styleId="UnresolvedMention1">
    <w:name w:val="Unresolved Mention1"/>
    <w:basedOn w:val="DefaultParagraphFont"/>
    <w:uiPriority w:val="99"/>
    <w:semiHidden/>
    <w:unhideWhenUsed/>
    <w:rsid w:val="00D75A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642</Words>
  <Characters>3618</Characters>
  <Application>Microsoft Office Word</Application>
  <DocSecurity>0</DocSecurity>
  <Lines>86</Lines>
  <Paragraphs>35</Paragraphs>
  <ScaleCrop>false</ScaleCrop>
  <HeadingPairs>
    <vt:vector size="2" baseType="variant">
      <vt:variant>
        <vt:lpstr>Title</vt:lpstr>
      </vt:variant>
      <vt:variant>
        <vt:i4>1</vt:i4>
      </vt:variant>
    </vt:vector>
  </HeadingPairs>
  <TitlesOfParts>
    <vt:vector size="1" baseType="lpstr">
      <vt:lpstr>BA - HB05323 (Committee Report (Unamended))</vt:lpstr>
    </vt:vector>
  </TitlesOfParts>
  <Company>State of Texas</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26247</dc:subject>
  <dc:creator>State of Texas</dc:creator>
  <dc:description>HB 5323 by King-(H)State Affairs</dc:description>
  <cp:lastModifiedBy>Damian Duarte</cp:lastModifiedBy>
  <cp:revision>2</cp:revision>
  <cp:lastPrinted>2003-11-26T17:21:00Z</cp:lastPrinted>
  <dcterms:created xsi:type="dcterms:W3CDTF">2025-04-28T21:17:00Z</dcterms:created>
  <dcterms:modified xsi:type="dcterms:W3CDTF">2025-04-28T21:17:00Z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25.115.1560</vt:lpwstr>
  </property>
</Properties>
</file>