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95F33" w14:paraId="21D97C90" w14:textId="77777777" w:rsidTr="00345119">
        <w:tc>
          <w:tcPr>
            <w:tcW w:w="9576" w:type="dxa"/>
            <w:noWrap/>
          </w:tcPr>
          <w:p w14:paraId="5CA0DA09" w14:textId="77777777" w:rsidR="008423E4" w:rsidRPr="0022177D" w:rsidRDefault="003B5F58" w:rsidP="00F16288">
            <w:pPr>
              <w:pStyle w:val="Heading1"/>
            </w:pPr>
            <w:r w:rsidRPr="00631897">
              <w:t>BILL ANALYSIS</w:t>
            </w:r>
          </w:p>
        </w:tc>
      </w:tr>
    </w:tbl>
    <w:p w14:paraId="2F8C6C5E" w14:textId="77777777" w:rsidR="008423E4" w:rsidRPr="0022177D" w:rsidRDefault="008423E4" w:rsidP="00F16288">
      <w:pPr>
        <w:jc w:val="center"/>
      </w:pPr>
    </w:p>
    <w:p w14:paraId="392613A3" w14:textId="77777777" w:rsidR="008423E4" w:rsidRPr="00B31F0E" w:rsidRDefault="008423E4" w:rsidP="00F16288"/>
    <w:p w14:paraId="04CC249E" w14:textId="77777777" w:rsidR="008423E4" w:rsidRPr="00742794" w:rsidRDefault="008423E4" w:rsidP="00F1628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95F33" w14:paraId="33EEEDA5" w14:textId="77777777" w:rsidTr="00345119">
        <w:tc>
          <w:tcPr>
            <w:tcW w:w="9576" w:type="dxa"/>
          </w:tcPr>
          <w:p w14:paraId="26A5710E" w14:textId="0B52F178" w:rsidR="008423E4" w:rsidRPr="00861995" w:rsidRDefault="003B5F58" w:rsidP="00F16288">
            <w:pPr>
              <w:jc w:val="right"/>
            </w:pPr>
            <w:r>
              <w:t>C.S.H.B. 5646</w:t>
            </w:r>
          </w:p>
        </w:tc>
      </w:tr>
      <w:tr w:rsidR="00695F33" w14:paraId="072389A3" w14:textId="77777777" w:rsidTr="00345119">
        <w:tc>
          <w:tcPr>
            <w:tcW w:w="9576" w:type="dxa"/>
          </w:tcPr>
          <w:p w14:paraId="701F9853" w14:textId="6952E3BC" w:rsidR="008423E4" w:rsidRPr="00861995" w:rsidRDefault="003B5F58" w:rsidP="00F16288">
            <w:pPr>
              <w:jc w:val="right"/>
            </w:pPr>
            <w:r>
              <w:t xml:space="preserve">By: </w:t>
            </w:r>
            <w:r w:rsidR="007B6B35">
              <w:t>Wilson</w:t>
            </w:r>
          </w:p>
        </w:tc>
      </w:tr>
      <w:tr w:rsidR="00695F33" w14:paraId="0A413407" w14:textId="77777777" w:rsidTr="00345119">
        <w:tc>
          <w:tcPr>
            <w:tcW w:w="9576" w:type="dxa"/>
          </w:tcPr>
          <w:p w14:paraId="7963F1D3" w14:textId="24ED25E5" w:rsidR="008423E4" w:rsidRPr="00861995" w:rsidRDefault="003B5F58" w:rsidP="00F16288">
            <w:pPr>
              <w:jc w:val="right"/>
            </w:pPr>
            <w:r>
              <w:t>Higher Education</w:t>
            </w:r>
          </w:p>
        </w:tc>
      </w:tr>
      <w:tr w:rsidR="00695F33" w14:paraId="73C0C0E7" w14:textId="77777777" w:rsidTr="00345119">
        <w:tc>
          <w:tcPr>
            <w:tcW w:w="9576" w:type="dxa"/>
          </w:tcPr>
          <w:p w14:paraId="02759423" w14:textId="56E9D2EF" w:rsidR="008423E4" w:rsidRDefault="003B5F58" w:rsidP="00F16288">
            <w:pPr>
              <w:jc w:val="right"/>
            </w:pPr>
            <w:r>
              <w:t>Committee Report (Substituted)</w:t>
            </w:r>
          </w:p>
        </w:tc>
      </w:tr>
    </w:tbl>
    <w:p w14:paraId="44B554FB" w14:textId="77777777" w:rsidR="008423E4" w:rsidRDefault="008423E4" w:rsidP="00F16288">
      <w:pPr>
        <w:tabs>
          <w:tab w:val="right" w:pos="9360"/>
        </w:tabs>
      </w:pPr>
    </w:p>
    <w:p w14:paraId="7B8A03B6" w14:textId="77777777" w:rsidR="008423E4" w:rsidRDefault="008423E4" w:rsidP="00F16288"/>
    <w:p w14:paraId="78BD57D9" w14:textId="77777777" w:rsidR="008423E4" w:rsidRDefault="008423E4" w:rsidP="00F1628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95F33" w14:paraId="60547CB0" w14:textId="77777777" w:rsidTr="00F16288">
        <w:tc>
          <w:tcPr>
            <w:tcW w:w="9360" w:type="dxa"/>
          </w:tcPr>
          <w:p w14:paraId="12E00E0E" w14:textId="77777777" w:rsidR="008423E4" w:rsidRPr="00A8133F" w:rsidRDefault="003B5F58" w:rsidP="00F1628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87EA0E" w14:textId="77777777" w:rsidR="008423E4" w:rsidRPr="002C3126" w:rsidRDefault="008423E4" w:rsidP="00F16288">
            <w:pPr>
              <w:rPr>
                <w:sz w:val="18"/>
                <w:szCs w:val="18"/>
              </w:rPr>
            </w:pPr>
          </w:p>
          <w:p w14:paraId="550E1A6C" w14:textId="77777777" w:rsidR="008423E4" w:rsidRDefault="003B5F58" w:rsidP="00F16288">
            <w:pPr>
              <w:pStyle w:val="Header"/>
              <w:jc w:val="both"/>
            </w:pPr>
            <w:r>
              <w:t xml:space="preserve">The bill author has informed the committee that </w:t>
            </w:r>
            <w:r w:rsidR="0009343B">
              <w:t>not all</w:t>
            </w:r>
            <w:r w:rsidR="00587FC9">
              <w:t xml:space="preserve"> students </w:t>
            </w:r>
            <w:r w:rsidR="0009343B">
              <w:t xml:space="preserve">at public institutions of higher education </w:t>
            </w:r>
            <w:r w:rsidR="00587FC9">
              <w:t>who are enrolled in and members in good standing of a Reserve Officers' Training Corps program</w:t>
            </w:r>
            <w:r w:rsidR="0009343B">
              <w:t xml:space="preserve"> or other military</w:t>
            </w:r>
            <w:r w:rsidR="00572F70">
              <w:t xml:space="preserve">-related </w:t>
            </w:r>
            <w:r w:rsidR="0009343B">
              <w:t xml:space="preserve">program </w:t>
            </w:r>
            <w:r w:rsidR="00587FC9">
              <w:t xml:space="preserve">are given in-state tuition rates. </w:t>
            </w:r>
            <w:r w:rsidR="0009343B">
              <w:t xml:space="preserve">C.S.H.B. 5646 seeks to address this issue by providing for such students to pay tuition and fees at the rates provided for Texas residents. </w:t>
            </w:r>
          </w:p>
          <w:p w14:paraId="77BB1D00" w14:textId="7B1DEAAA" w:rsidR="00F16288" w:rsidRPr="002C3126" w:rsidRDefault="00F16288" w:rsidP="00F16288">
            <w:pPr>
              <w:pStyle w:val="Header"/>
              <w:jc w:val="both"/>
              <w:rPr>
                <w:b/>
                <w:sz w:val="18"/>
                <w:szCs w:val="18"/>
              </w:rPr>
            </w:pPr>
          </w:p>
        </w:tc>
      </w:tr>
      <w:tr w:rsidR="00695F33" w14:paraId="5B0384C5" w14:textId="77777777" w:rsidTr="00F16288">
        <w:tc>
          <w:tcPr>
            <w:tcW w:w="9360" w:type="dxa"/>
          </w:tcPr>
          <w:p w14:paraId="24405729" w14:textId="77777777" w:rsidR="0017725B" w:rsidRDefault="003B5F58" w:rsidP="00F162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35C96F6" w14:textId="77777777" w:rsidR="0017725B" w:rsidRPr="002C3126" w:rsidRDefault="0017725B" w:rsidP="00F16288">
            <w:pPr>
              <w:rPr>
                <w:b/>
                <w:sz w:val="18"/>
                <w:szCs w:val="18"/>
                <w:u w:val="single"/>
              </w:rPr>
            </w:pPr>
          </w:p>
          <w:p w14:paraId="2EA2F229" w14:textId="3C30E8BC" w:rsidR="008E5FE3" w:rsidRPr="008E5FE3" w:rsidRDefault="003B5F58" w:rsidP="00F1628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61FBF88" w14:textId="77777777" w:rsidR="0017725B" w:rsidRPr="002C3126" w:rsidRDefault="0017725B" w:rsidP="00F16288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695F33" w14:paraId="2DECDD37" w14:textId="77777777" w:rsidTr="00F16288">
        <w:tc>
          <w:tcPr>
            <w:tcW w:w="9360" w:type="dxa"/>
          </w:tcPr>
          <w:p w14:paraId="31095488" w14:textId="77777777" w:rsidR="008423E4" w:rsidRPr="00A8133F" w:rsidRDefault="003B5F58" w:rsidP="00F1628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DFCAC83" w14:textId="77777777" w:rsidR="008423E4" w:rsidRPr="002C3126" w:rsidRDefault="008423E4" w:rsidP="00F16288">
            <w:pPr>
              <w:rPr>
                <w:sz w:val="18"/>
                <w:szCs w:val="18"/>
              </w:rPr>
            </w:pPr>
          </w:p>
          <w:p w14:paraId="331C42D8" w14:textId="5E3D342E" w:rsidR="008E5FE3" w:rsidRDefault="003B5F58" w:rsidP="00F162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</w:t>
            </w:r>
            <w:r>
              <w:t>rulemaking authority to a state officer, department, agency, or institution.</w:t>
            </w:r>
          </w:p>
          <w:p w14:paraId="64B5CFAC" w14:textId="77777777" w:rsidR="008423E4" w:rsidRPr="002C3126" w:rsidRDefault="008423E4" w:rsidP="00F16288">
            <w:pPr>
              <w:rPr>
                <w:b/>
                <w:sz w:val="18"/>
                <w:szCs w:val="18"/>
              </w:rPr>
            </w:pPr>
          </w:p>
        </w:tc>
      </w:tr>
      <w:tr w:rsidR="00695F33" w14:paraId="45377663" w14:textId="77777777" w:rsidTr="00F16288">
        <w:tc>
          <w:tcPr>
            <w:tcW w:w="9360" w:type="dxa"/>
          </w:tcPr>
          <w:p w14:paraId="72EF57C0" w14:textId="77777777" w:rsidR="008423E4" w:rsidRPr="00A8133F" w:rsidRDefault="003B5F58" w:rsidP="00F1628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306599C" w14:textId="77777777" w:rsidR="008423E4" w:rsidRPr="002C3126" w:rsidRDefault="008423E4" w:rsidP="00F16288">
            <w:pPr>
              <w:rPr>
                <w:sz w:val="18"/>
                <w:szCs w:val="18"/>
              </w:rPr>
            </w:pPr>
          </w:p>
          <w:p w14:paraId="6728D03A" w14:textId="04AC2BBA" w:rsidR="008835A2" w:rsidRDefault="003B5F58" w:rsidP="00F162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E5FE3">
              <w:t xml:space="preserve">H.B. 5646 amends the Education Code to </w:t>
            </w:r>
            <w:r>
              <w:t xml:space="preserve">entitle a person enrolled at </w:t>
            </w:r>
            <w:r w:rsidR="008E5FE3">
              <w:t>a</w:t>
            </w:r>
            <w:r w:rsidR="008859A3">
              <w:t xml:space="preserve"> public</w:t>
            </w:r>
            <w:r w:rsidR="008E5FE3" w:rsidRPr="008E5FE3">
              <w:t xml:space="preserve"> institution of higher education </w:t>
            </w:r>
            <w:r>
              <w:t>to pay</w:t>
            </w:r>
            <w:r w:rsidR="008E5FE3" w:rsidRPr="008E5FE3">
              <w:t xml:space="preserve"> tuition </w:t>
            </w:r>
            <w:r>
              <w:t xml:space="preserve">and fees at the </w:t>
            </w:r>
            <w:r w:rsidR="008E5FE3" w:rsidRPr="008E5FE3">
              <w:t xml:space="preserve">rates </w:t>
            </w:r>
            <w:r>
              <w:t xml:space="preserve">provided for Texas residents if the person meets any of the following </w:t>
            </w:r>
            <w:r w:rsidR="00CA5239">
              <w:t>criteria</w:t>
            </w:r>
            <w:r>
              <w:t>:</w:t>
            </w:r>
          </w:p>
          <w:p w14:paraId="6240D32A" w14:textId="737B30AC" w:rsidR="008835A2" w:rsidRDefault="003B5F58" w:rsidP="00F1628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8E5FE3">
              <w:t xml:space="preserve">is enrolled and a member in good standing </w:t>
            </w:r>
            <w:r w:rsidR="00CA5239">
              <w:t>in</w:t>
            </w:r>
            <w:r w:rsidR="00CA5239" w:rsidRPr="008E5FE3">
              <w:t xml:space="preserve"> </w:t>
            </w:r>
            <w:r w:rsidRPr="008E5FE3">
              <w:t xml:space="preserve">a </w:t>
            </w:r>
            <w:r w:rsidR="00A41E43">
              <w:t>R</w:t>
            </w:r>
            <w:r w:rsidRPr="008E5FE3">
              <w:t xml:space="preserve">eserve </w:t>
            </w:r>
            <w:r w:rsidR="00A41E43">
              <w:t>O</w:t>
            </w:r>
            <w:r w:rsidRPr="008E5FE3">
              <w:t xml:space="preserve">fficers' </w:t>
            </w:r>
            <w:r w:rsidR="00A41E43">
              <w:t>T</w:t>
            </w:r>
            <w:r w:rsidRPr="008E5FE3">
              <w:t xml:space="preserve">raining </w:t>
            </w:r>
            <w:r w:rsidR="00A41E43">
              <w:t>C</w:t>
            </w:r>
            <w:r w:rsidRPr="008E5FE3">
              <w:t>orps program</w:t>
            </w:r>
            <w:r>
              <w:t>;</w:t>
            </w:r>
          </w:p>
          <w:p w14:paraId="02905736" w14:textId="3E4AF79F" w:rsidR="008835A2" w:rsidRDefault="003B5F58" w:rsidP="00F1628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is enrolled in a corps of cadets, including </w:t>
            </w:r>
            <w:r w:rsidR="008859A3">
              <w:t xml:space="preserve">a </w:t>
            </w:r>
            <w:r w:rsidR="008E5FE3" w:rsidRPr="008E5FE3">
              <w:t>corps of cadets at a senior military college</w:t>
            </w:r>
            <w:r>
              <w:t>; or</w:t>
            </w:r>
          </w:p>
          <w:p w14:paraId="51FED43F" w14:textId="77777777" w:rsidR="008835A2" w:rsidRDefault="003B5F58" w:rsidP="00F1628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is enrolled in a corps of midshipmen</w:t>
            </w:r>
            <w:r w:rsidR="008E5FE3" w:rsidRPr="008E5FE3">
              <w:t>.</w:t>
            </w:r>
            <w:r w:rsidR="008E5FE3">
              <w:t xml:space="preserve"> </w:t>
            </w:r>
          </w:p>
          <w:p w14:paraId="2C992574" w14:textId="68F79D6B" w:rsidR="008835A2" w:rsidRDefault="003B5F58" w:rsidP="00F162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establishes that </w:t>
            </w:r>
            <w:r w:rsidRPr="008835A2">
              <w:t xml:space="preserve">a person who is entitled to pay resident tuition and fees only as permitted by </w:t>
            </w:r>
            <w:r>
              <w:t>these provisions</w:t>
            </w:r>
            <w:r w:rsidRPr="008835A2">
              <w:t xml:space="preserve"> is not considered a Texas resident for purposes of a financial aid program offered by t</w:t>
            </w:r>
            <w:r>
              <w:t>he state</w:t>
            </w:r>
            <w:r w:rsidRPr="008835A2">
              <w:t>.</w:t>
            </w:r>
          </w:p>
          <w:p w14:paraId="270BE59E" w14:textId="77777777" w:rsidR="008835A2" w:rsidRPr="002C3126" w:rsidRDefault="008835A2" w:rsidP="00F1628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18"/>
                <w:szCs w:val="18"/>
              </w:rPr>
            </w:pPr>
          </w:p>
          <w:p w14:paraId="2FBAE730" w14:textId="77777777" w:rsidR="008423E4" w:rsidRDefault="003B5F58" w:rsidP="00F162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5646</w:t>
            </w:r>
            <w:r w:rsidR="008E5FE3">
              <w:t xml:space="preserve"> applies </w:t>
            </w:r>
            <w:r w:rsidR="008E5FE3" w:rsidRPr="008E5FE3">
              <w:t xml:space="preserve">beginning with </w:t>
            </w:r>
            <w:r>
              <w:t>tuition and other fees charged</w:t>
            </w:r>
            <w:r w:rsidRPr="008E5FE3">
              <w:t xml:space="preserve"> </w:t>
            </w:r>
            <w:r w:rsidR="008E5FE3" w:rsidRPr="008E5FE3">
              <w:t>for the 2026 spring semeste</w:t>
            </w:r>
            <w:r w:rsidR="008E5FE3">
              <w:t>r.</w:t>
            </w:r>
            <w:r w:rsidR="00F770C2">
              <w:t xml:space="preserve"> </w:t>
            </w:r>
            <w:r w:rsidR="00F770C2" w:rsidRPr="00F770C2">
              <w:t xml:space="preserve">Tuition and other fees charged for an academic period before that semester are covered by the law in effect immediately before the </w:t>
            </w:r>
            <w:r w:rsidR="00F770C2">
              <w:t xml:space="preserve">bill's </w:t>
            </w:r>
            <w:r w:rsidR="00F770C2" w:rsidRPr="00F770C2">
              <w:t>effective date, and the former law is continued in effect for that purpose.</w:t>
            </w:r>
          </w:p>
          <w:p w14:paraId="2E85270A" w14:textId="35998FFB" w:rsidR="00F16288" w:rsidRPr="002C3126" w:rsidRDefault="00F16288" w:rsidP="00F1628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18"/>
                <w:szCs w:val="18"/>
              </w:rPr>
            </w:pPr>
          </w:p>
        </w:tc>
      </w:tr>
      <w:tr w:rsidR="00695F33" w14:paraId="3D75BC81" w14:textId="77777777" w:rsidTr="00F16288">
        <w:tc>
          <w:tcPr>
            <w:tcW w:w="9360" w:type="dxa"/>
          </w:tcPr>
          <w:p w14:paraId="7BC57FF0" w14:textId="77777777" w:rsidR="008423E4" w:rsidRPr="00A8133F" w:rsidRDefault="003B5F58" w:rsidP="00F1628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2CA216E" w14:textId="77777777" w:rsidR="008423E4" w:rsidRPr="002C3126" w:rsidRDefault="008423E4" w:rsidP="00F16288">
            <w:pPr>
              <w:rPr>
                <w:sz w:val="18"/>
                <w:szCs w:val="18"/>
              </w:rPr>
            </w:pPr>
          </w:p>
          <w:p w14:paraId="7F7173EA" w14:textId="52D3A105" w:rsidR="008423E4" w:rsidRPr="003624F2" w:rsidRDefault="003B5F58" w:rsidP="00F162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3E78DAFC" w14:textId="77777777" w:rsidR="00F16288" w:rsidRPr="002C3126" w:rsidRDefault="00F16288" w:rsidP="00F16288">
            <w:pPr>
              <w:rPr>
                <w:b/>
                <w:sz w:val="18"/>
                <w:szCs w:val="18"/>
              </w:rPr>
            </w:pPr>
          </w:p>
        </w:tc>
      </w:tr>
      <w:tr w:rsidR="00695F33" w14:paraId="6D4EF9B7" w14:textId="77777777" w:rsidTr="00F16288">
        <w:tc>
          <w:tcPr>
            <w:tcW w:w="9360" w:type="dxa"/>
          </w:tcPr>
          <w:p w14:paraId="77D8D8FB" w14:textId="77777777" w:rsidR="007B6B35" w:rsidRDefault="003B5F58" w:rsidP="00F1628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8223167" w14:textId="77777777" w:rsidR="00F770C2" w:rsidRPr="002C3126" w:rsidRDefault="00F770C2" w:rsidP="00F16288">
            <w:pPr>
              <w:jc w:val="both"/>
              <w:rPr>
                <w:sz w:val="18"/>
                <w:szCs w:val="18"/>
              </w:rPr>
            </w:pPr>
          </w:p>
          <w:p w14:paraId="50B80812" w14:textId="480392F3" w:rsidR="00F770C2" w:rsidRDefault="003B5F58" w:rsidP="00F16288">
            <w:pPr>
              <w:jc w:val="both"/>
            </w:pPr>
            <w:r>
              <w:t>While C.S.H.B</w:t>
            </w:r>
            <w:r>
              <w:t>. 5646 may differ from the introduced in minor or nonsubstantive ways, the following summarizes the substantial differences between the introduced and committee substitute versions of the bill.</w:t>
            </w:r>
          </w:p>
          <w:p w14:paraId="76868D9F" w14:textId="77777777" w:rsidR="00F770C2" w:rsidRPr="002C3126" w:rsidRDefault="00F770C2" w:rsidP="00F16288">
            <w:pPr>
              <w:jc w:val="both"/>
              <w:rPr>
                <w:sz w:val="18"/>
                <w:szCs w:val="18"/>
              </w:rPr>
            </w:pPr>
          </w:p>
          <w:p w14:paraId="419E6F0B" w14:textId="58073E67" w:rsidR="000B6E69" w:rsidRDefault="003B5F58" w:rsidP="00F16288">
            <w:pPr>
              <w:jc w:val="both"/>
            </w:pPr>
            <w:r>
              <w:t>Whereas t</w:t>
            </w:r>
            <w:r w:rsidR="0096775C">
              <w:t xml:space="preserve">he introduced required a public </w:t>
            </w:r>
            <w:r w:rsidR="0096775C" w:rsidRPr="00512248">
              <w:t xml:space="preserve">institution of higher education in </w:t>
            </w:r>
            <w:r w:rsidR="0096775C">
              <w:t>Texas to</w:t>
            </w:r>
            <w:r w:rsidR="0096775C" w:rsidRPr="00512248">
              <w:t xml:space="preserve"> grant in-state tuition rates </w:t>
            </w:r>
            <w:r w:rsidRPr="004E5F4E">
              <w:t xml:space="preserve">to any student who is enrolled in and a member in good standing of a Reserve Officers' Training Corps </w:t>
            </w:r>
            <w:r w:rsidR="004712A9">
              <w:t>(ROTC)</w:t>
            </w:r>
            <w:r w:rsidR="005616BD">
              <w:t xml:space="preserve"> </w:t>
            </w:r>
            <w:r w:rsidRPr="004E5F4E">
              <w:t>program, or members of the corps of cadets at a senior military college</w:t>
            </w:r>
            <w:r>
              <w:t xml:space="preserve">, the substitute </w:t>
            </w:r>
            <w:r w:rsidR="0096775C">
              <w:t xml:space="preserve">entitles a </w:t>
            </w:r>
            <w:r w:rsidR="0096775C" w:rsidRPr="003F3CFA">
              <w:t xml:space="preserve">person enrolled at </w:t>
            </w:r>
            <w:r w:rsidR="00E45049">
              <w:t xml:space="preserve">such </w:t>
            </w:r>
            <w:r w:rsidR="0096775C" w:rsidRPr="003F3CFA">
              <w:t>an institution to pay tuition and fees at the rates provided for Texas residents if the person is</w:t>
            </w:r>
            <w:r>
              <w:t>, as follows:</w:t>
            </w:r>
          </w:p>
          <w:p w14:paraId="60EA2FFC" w14:textId="40FC272C" w:rsidR="000B6E69" w:rsidRDefault="003B5F58" w:rsidP="00F1628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enrolled and in good standing in a ROTC program;</w:t>
            </w:r>
          </w:p>
          <w:p w14:paraId="133FD029" w14:textId="7D5A3EC2" w:rsidR="000B6E69" w:rsidRDefault="003B5F58" w:rsidP="00F1628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enrolled in a corps of cadets, including a corps of cadets at a senior military college; or</w:t>
            </w:r>
          </w:p>
          <w:p w14:paraId="4FE1CFE6" w14:textId="09C65BA2" w:rsidR="0017580B" w:rsidRDefault="003B5F58" w:rsidP="00F16288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enrolled in a corps of midshipmen.</w:t>
            </w:r>
          </w:p>
          <w:p w14:paraId="62C9AD55" w14:textId="77777777" w:rsidR="0017580B" w:rsidRPr="002C3126" w:rsidRDefault="0017580B" w:rsidP="00F16288">
            <w:pPr>
              <w:jc w:val="both"/>
              <w:rPr>
                <w:sz w:val="18"/>
                <w:szCs w:val="18"/>
              </w:rPr>
            </w:pPr>
          </w:p>
          <w:p w14:paraId="119B6C18" w14:textId="1175FE1B" w:rsidR="00F770C2" w:rsidRPr="00F770C2" w:rsidRDefault="003B5F58" w:rsidP="00F16288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substitute includes a provision absent from the introduced that clarifies that a </w:t>
            </w:r>
            <w:r w:rsidRPr="00F770C2">
              <w:rPr>
                <w:bCs/>
              </w:rPr>
              <w:t xml:space="preserve">person </w:t>
            </w:r>
            <w:r>
              <w:rPr>
                <w:bCs/>
              </w:rPr>
              <w:t xml:space="preserve">entitled to resident tuition and fees for their enrollment in </w:t>
            </w:r>
            <w:r w:rsidR="007A29EA">
              <w:rPr>
                <w:bCs/>
              </w:rPr>
              <w:t>applicable</w:t>
            </w:r>
            <w:r>
              <w:rPr>
                <w:bCs/>
              </w:rPr>
              <w:t xml:space="preserve"> military-related programs</w:t>
            </w:r>
            <w:r w:rsidRPr="00F770C2">
              <w:rPr>
                <w:bCs/>
              </w:rPr>
              <w:t xml:space="preserve"> is not considered a Texas resident for purposes of a financial aid program offered by the state.</w:t>
            </w:r>
          </w:p>
          <w:p w14:paraId="003FA1F7" w14:textId="77777777" w:rsidR="00F770C2" w:rsidRPr="002C3126" w:rsidRDefault="00F770C2" w:rsidP="00F16288">
            <w:pPr>
              <w:jc w:val="both"/>
              <w:rPr>
                <w:bCs/>
                <w:sz w:val="18"/>
                <w:szCs w:val="18"/>
              </w:rPr>
            </w:pPr>
          </w:p>
          <w:p w14:paraId="6C7C1195" w14:textId="77777777" w:rsidR="007B6B35" w:rsidRDefault="003B5F58" w:rsidP="00F16288">
            <w:pPr>
              <w:jc w:val="both"/>
              <w:rPr>
                <w:bCs/>
              </w:rPr>
            </w:pPr>
            <w:r>
              <w:rPr>
                <w:bCs/>
              </w:rPr>
              <w:t>Whereas the introduced establishe</w:t>
            </w:r>
            <w:r w:rsidR="00040207">
              <w:rPr>
                <w:bCs/>
              </w:rPr>
              <w:t>d</w:t>
            </w:r>
            <w:r>
              <w:rPr>
                <w:bCs/>
              </w:rPr>
              <w:t xml:space="preserve"> that its provision</w:t>
            </w:r>
            <w:r w:rsidR="00EC323A">
              <w:rPr>
                <w:bCs/>
              </w:rPr>
              <w:t>s</w:t>
            </w:r>
            <w:r>
              <w:rPr>
                <w:bCs/>
              </w:rPr>
              <w:t xml:space="preserve"> apply beginning with the </w:t>
            </w:r>
            <w:r w:rsidRPr="00F770C2">
              <w:rPr>
                <w:bCs/>
              </w:rPr>
              <w:t>registration for a course or program for the 2026 spring semester</w:t>
            </w:r>
            <w:r>
              <w:rPr>
                <w:bCs/>
              </w:rPr>
              <w:t xml:space="preserve">, the substitute instead establishes that its provisions apply </w:t>
            </w:r>
            <w:r w:rsidRPr="00F770C2">
              <w:rPr>
                <w:bCs/>
              </w:rPr>
              <w:t>beginning with tuition and other fees charged for the 2026 spring semester</w:t>
            </w:r>
            <w:r>
              <w:rPr>
                <w:bCs/>
              </w:rPr>
              <w:t>. The substitute includes a provision relating to the continuation of former law, whereas the introduced did not.</w:t>
            </w:r>
          </w:p>
          <w:p w14:paraId="3B595642" w14:textId="759F5FFE" w:rsidR="002C3126" w:rsidRPr="002C3126" w:rsidRDefault="002C3126" w:rsidP="00F16288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68CD7B3A" w14:textId="77777777" w:rsidR="008423E4" w:rsidRPr="00BE0E75" w:rsidRDefault="008423E4" w:rsidP="00F16288">
      <w:pPr>
        <w:jc w:val="both"/>
        <w:rPr>
          <w:rFonts w:ascii="Arial" w:hAnsi="Arial"/>
          <w:sz w:val="16"/>
          <w:szCs w:val="16"/>
        </w:rPr>
      </w:pPr>
    </w:p>
    <w:p w14:paraId="2DFD3C29" w14:textId="77777777" w:rsidR="004108C3" w:rsidRPr="008423E4" w:rsidRDefault="004108C3" w:rsidP="00F1628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006A" w14:textId="77777777" w:rsidR="003B5F58" w:rsidRDefault="003B5F58">
      <w:r>
        <w:separator/>
      </w:r>
    </w:p>
  </w:endnote>
  <w:endnote w:type="continuationSeparator" w:id="0">
    <w:p w14:paraId="49C45326" w14:textId="77777777" w:rsidR="003B5F58" w:rsidRDefault="003B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8E8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95F33" w14:paraId="0D3963FC" w14:textId="77777777" w:rsidTr="009C1E9A">
      <w:trPr>
        <w:cantSplit/>
      </w:trPr>
      <w:tc>
        <w:tcPr>
          <w:tcW w:w="0" w:type="pct"/>
        </w:tcPr>
        <w:p w14:paraId="654C54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4FC1D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CB888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418A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67763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95F33" w14:paraId="533056EA" w14:textId="77777777" w:rsidTr="009C1E9A">
      <w:trPr>
        <w:cantSplit/>
      </w:trPr>
      <w:tc>
        <w:tcPr>
          <w:tcW w:w="0" w:type="pct"/>
        </w:tcPr>
        <w:p w14:paraId="6DBD81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26ABD7" w14:textId="0A0C5DBA" w:rsidR="00EC379B" w:rsidRPr="009C1E9A" w:rsidRDefault="003B5F5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26142-D</w:t>
          </w:r>
        </w:p>
      </w:tc>
      <w:tc>
        <w:tcPr>
          <w:tcW w:w="2453" w:type="pct"/>
        </w:tcPr>
        <w:p w14:paraId="589B26E7" w14:textId="6847B61F" w:rsidR="00EC379B" w:rsidRDefault="003B5F5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16288">
            <w:t>25.115.1911</w:t>
          </w:r>
          <w:r>
            <w:fldChar w:fldCharType="end"/>
          </w:r>
        </w:p>
      </w:tc>
    </w:tr>
    <w:tr w:rsidR="00695F33" w14:paraId="4554A765" w14:textId="77777777" w:rsidTr="009C1E9A">
      <w:trPr>
        <w:cantSplit/>
      </w:trPr>
      <w:tc>
        <w:tcPr>
          <w:tcW w:w="0" w:type="pct"/>
        </w:tcPr>
        <w:p w14:paraId="0083378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4F64528" w14:textId="38D38853" w:rsidR="00EC379B" w:rsidRPr="009C1E9A" w:rsidRDefault="003B5F5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25577</w:t>
          </w:r>
        </w:p>
      </w:tc>
      <w:tc>
        <w:tcPr>
          <w:tcW w:w="2453" w:type="pct"/>
        </w:tcPr>
        <w:p w14:paraId="36C7E6D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DEF03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95F33" w14:paraId="79EE9A9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BA6A4D5" w14:textId="77777777" w:rsidR="00EC379B" w:rsidRDefault="003B5F5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30E62B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1AD79F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925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2488" w14:textId="77777777" w:rsidR="003B5F58" w:rsidRDefault="003B5F58">
      <w:r>
        <w:separator/>
      </w:r>
    </w:p>
  </w:footnote>
  <w:footnote w:type="continuationSeparator" w:id="0">
    <w:p w14:paraId="535A1DC9" w14:textId="77777777" w:rsidR="003B5F58" w:rsidRDefault="003B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A49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415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854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287"/>
    <w:multiLevelType w:val="hybridMultilevel"/>
    <w:tmpl w:val="0344CB80"/>
    <w:lvl w:ilvl="0" w:tplc="F7F2A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00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6C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417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03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4B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4F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8D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7CD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2235"/>
    <w:multiLevelType w:val="hybridMultilevel"/>
    <w:tmpl w:val="F5FA3F46"/>
    <w:lvl w:ilvl="0" w:tplc="E8B88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6E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A8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AC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08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B8D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44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49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A8A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334E7"/>
    <w:multiLevelType w:val="hybridMultilevel"/>
    <w:tmpl w:val="68DEAC0C"/>
    <w:lvl w:ilvl="0" w:tplc="4A1CA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F84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F2A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8F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654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E48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AD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4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54B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7630E"/>
    <w:multiLevelType w:val="hybridMultilevel"/>
    <w:tmpl w:val="C9F65FB6"/>
    <w:lvl w:ilvl="0" w:tplc="89644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2E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61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AB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A8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03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8F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AB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24A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21AC3"/>
    <w:multiLevelType w:val="hybridMultilevel"/>
    <w:tmpl w:val="AE84AFF4"/>
    <w:lvl w:ilvl="0" w:tplc="C8389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C6B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C4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61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CE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723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CB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6E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27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56339">
    <w:abstractNumId w:val="3"/>
  </w:num>
  <w:num w:numId="2" w16cid:durableId="1731730210">
    <w:abstractNumId w:val="1"/>
  </w:num>
  <w:num w:numId="3" w16cid:durableId="950863802">
    <w:abstractNumId w:val="0"/>
  </w:num>
  <w:num w:numId="4" w16cid:durableId="1315722711">
    <w:abstractNumId w:val="2"/>
  </w:num>
  <w:num w:numId="5" w16cid:durableId="290477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E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207"/>
    <w:rsid w:val="00043B84"/>
    <w:rsid w:val="0004512B"/>
    <w:rsid w:val="000452DA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19E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43B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E69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3A2B"/>
    <w:rsid w:val="000D46E5"/>
    <w:rsid w:val="000D769C"/>
    <w:rsid w:val="000E1976"/>
    <w:rsid w:val="000E20F1"/>
    <w:rsid w:val="000E56C3"/>
    <w:rsid w:val="000E5B20"/>
    <w:rsid w:val="000E6CCF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23A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580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126"/>
    <w:rsid w:val="002C3203"/>
    <w:rsid w:val="002C3B07"/>
    <w:rsid w:val="002C532B"/>
    <w:rsid w:val="002C5713"/>
    <w:rsid w:val="002C6FB0"/>
    <w:rsid w:val="002D05CC"/>
    <w:rsid w:val="002D305A"/>
    <w:rsid w:val="002E1F67"/>
    <w:rsid w:val="002E21B8"/>
    <w:rsid w:val="002E7DF9"/>
    <w:rsid w:val="002F097B"/>
    <w:rsid w:val="002F2147"/>
    <w:rsid w:val="002F3111"/>
    <w:rsid w:val="002F4AEC"/>
    <w:rsid w:val="002F795D"/>
    <w:rsid w:val="0030046C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1F3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222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2B3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5F58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2A7"/>
    <w:rsid w:val="003D726D"/>
    <w:rsid w:val="003E0875"/>
    <w:rsid w:val="003E0BB8"/>
    <w:rsid w:val="003E4941"/>
    <w:rsid w:val="003E6CB0"/>
    <w:rsid w:val="003F1F5E"/>
    <w:rsid w:val="003F286A"/>
    <w:rsid w:val="003F3CF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2346"/>
    <w:rsid w:val="00423FBC"/>
    <w:rsid w:val="004241AA"/>
    <w:rsid w:val="0042422E"/>
    <w:rsid w:val="00424C75"/>
    <w:rsid w:val="0043190E"/>
    <w:rsid w:val="004324E9"/>
    <w:rsid w:val="004350F3"/>
    <w:rsid w:val="00436980"/>
    <w:rsid w:val="00441016"/>
    <w:rsid w:val="00441F2F"/>
    <w:rsid w:val="0044228B"/>
    <w:rsid w:val="00442BE0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FB7"/>
    <w:rsid w:val="004712A9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5F4E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248"/>
    <w:rsid w:val="0051324D"/>
    <w:rsid w:val="005148C5"/>
    <w:rsid w:val="00515466"/>
    <w:rsid w:val="005154F7"/>
    <w:rsid w:val="005159DE"/>
    <w:rsid w:val="00520DDE"/>
    <w:rsid w:val="00524711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6BD"/>
    <w:rsid w:val="00561B14"/>
    <w:rsid w:val="00562C87"/>
    <w:rsid w:val="005636BD"/>
    <w:rsid w:val="005666D5"/>
    <w:rsid w:val="005669A7"/>
    <w:rsid w:val="00572F70"/>
    <w:rsid w:val="00573222"/>
    <w:rsid w:val="00573401"/>
    <w:rsid w:val="00576714"/>
    <w:rsid w:val="0057685A"/>
    <w:rsid w:val="005832EE"/>
    <w:rsid w:val="005847EF"/>
    <w:rsid w:val="005851E6"/>
    <w:rsid w:val="005878B7"/>
    <w:rsid w:val="00587FC9"/>
    <w:rsid w:val="00592C9A"/>
    <w:rsid w:val="00593066"/>
    <w:rsid w:val="00593DF8"/>
    <w:rsid w:val="00595745"/>
    <w:rsid w:val="005A0E18"/>
    <w:rsid w:val="005A12A5"/>
    <w:rsid w:val="005A3790"/>
    <w:rsid w:val="005A3CCB"/>
    <w:rsid w:val="005A4BF9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E43"/>
    <w:rsid w:val="005C7CCB"/>
    <w:rsid w:val="005D1267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70D"/>
    <w:rsid w:val="00632928"/>
    <w:rsid w:val="006330DA"/>
    <w:rsid w:val="00633262"/>
    <w:rsid w:val="00633460"/>
    <w:rsid w:val="006371A3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5F33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3A95"/>
    <w:rsid w:val="006D504F"/>
    <w:rsid w:val="006E0CAC"/>
    <w:rsid w:val="006E1CFB"/>
    <w:rsid w:val="006E1F94"/>
    <w:rsid w:val="006E24F9"/>
    <w:rsid w:val="006E26C1"/>
    <w:rsid w:val="006E30A8"/>
    <w:rsid w:val="006E45B0"/>
    <w:rsid w:val="006E5692"/>
    <w:rsid w:val="006F284C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D03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9EA"/>
    <w:rsid w:val="007A331F"/>
    <w:rsid w:val="007A3844"/>
    <w:rsid w:val="007A4381"/>
    <w:rsid w:val="007A5466"/>
    <w:rsid w:val="007A7EC1"/>
    <w:rsid w:val="007B4FCA"/>
    <w:rsid w:val="007B6B35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81"/>
    <w:rsid w:val="008826F2"/>
    <w:rsid w:val="008835A2"/>
    <w:rsid w:val="008845BA"/>
    <w:rsid w:val="00884AE3"/>
    <w:rsid w:val="00885203"/>
    <w:rsid w:val="008859A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4D4"/>
    <w:rsid w:val="008D58F9"/>
    <w:rsid w:val="008D7427"/>
    <w:rsid w:val="008E3338"/>
    <w:rsid w:val="008E47BE"/>
    <w:rsid w:val="008E5FE3"/>
    <w:rsid w:val="008F09DF"/>
    <w:rsid w:val="008F1D2A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22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6775C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236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668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E43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68D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29E5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E26"/>
    <w:rsid w:val="00B95BC8"/>
    <w:rsid w:val="00B96E87"/>
    <w:rsid w:val="00BA0685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357"/>
    <w:rsid w:val="00BF0548"/>
    <w:rsid w:val="00BF4949"/>
    <w:rsid w:val="00BF4D7C"/>
    <w:rsid w:val="00BF5085"/>
    <w:rsid w:val="00BF7731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3AC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83C"/>
    <w:rsid w:val="00C42B41"/>
    <w:rsid w:val="00C46166"/>
    <w:rsid w:val="00C4710D"/>
    <w:rsid w:val="00C50CAD"/>
    <w:rsid w:val="00C5745E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61B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239"/>
    <w:rsid w:val="00CA5E5E"/>
    <w:rsid w:val="00CA7D7B"/>
    <w:rsid w:val="00CB0131"/>
    <w:rsid w:val="00CB0AE4"/>
    <w:rsid w:val="00CB0C21"/>
    <w:rsid w:val="00CB0CE8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42E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A30"/>
    <w:rsid w:val="00D35728"/>
    <w:rsid w:val="00D359A7"/>
    <w:rsid w:val="00D37BCF"/>
    <w:rsid w:val="00D40F93"/>
    <w:rsid w:val="00D42277"/>
    <w:rsid w:val="00D435C2"/>
    <w:rsid w:val="00D43C59"/>
    <w:rsid w:val="00D44ADE"/>
    <w:rsid w:val="00D50D65"/>
    <w:rsid w:val="00D512E0"/>
    <w:rsid w:val="00D519F3"/>
    <w:rsid w:val="00D51D2A"/>
    <w:rsid w:val="00D53B7C"/>
    <w:rsid w:val="00D54573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EC9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049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23A"/>
    <w:rsid w:val="00EC379B"/>
    <w:rsid w:val="00EC37DF"/>
    <w:rsid w:val="00EC3A99"/>
    <w:rsid w:val="00EC41B1"/>
    <w:rsid w:val="00EC4DD7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288"/>
    <w:rsid w:val="00F164B4"/>
    <w:rsid w:val="00F176E4"/>
    <w:rsid w:val="00F20E5F"/>
    <w:rsid w:val="00F235D3"/>
    <w:rsid w:val="00F25C26"/>
    <w:rsid w:val="00F25C39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0C2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A7ED4"/>
    <w:rsid w:val="00FB16CD"/>
    <w:rsid w:val="00FB73AE"/>
    <w:rsid w:val="00FC5388"/>
    <w:rsid w:val="00FC726C"/>
    <w:rsid w:val="00FD1B4B"/>
    <w:rsid w:val="00FD1B94"/>
    <w:rsid w:val="00FE19C5"/>
    <w:rsid w:val="00FE3337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175595-7D3F-4B29-92CB-13338CC4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E5F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5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5F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5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5FE3"/>
    <w:rPr>
      <w:b/>
      <w:bCs/>
    </w:rPr>
  </w:style>
  <w:style w:type="paragraph" w:styleId="Revision">
    <w:name w:val="Revision"/>
    <w:hidden/>
    <w:uiPriority w:val="99"/>
    <w:semiHidden/>
    <w:rsid w:val="006371A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D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3025</Characters>
  <Application>Microsoft Office Word</Application>
  <DocSecurity>0</DocSecurity>
  <Lines>79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HB05646 (Committee Report (Substituted))</vt:lpstr>
    </vt:vector>
  </TitlesOfParts>
  <Company>State of Texas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26142</dc:subject>
  <dc:creator>State of Texas</dc:creator>
  <dc:description>HB 5646 by Wilson-(H)Higher Education (Substitute Document Number: 89R 25577)</dc:description>
  <cp:lastModifiedBy>Damian Duarte</cp:lastModifiedBy>
  <cp:revision>2</cp:revision>
  <cp:lastPrinted>2003-11-26T17:21:00Z</cp:lastPrinted>
  <dcterms:created xsi:type="dcterms:W3CDTF">2025-04-28T15:16:00Z</dcterms:created>
  <dcterms:modified xsi:type="dcterms:W3CDTF">2025-04-28T15:16:00Z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25.115.1911</vt:lpwstr>
  </property>
</Properties>
</file>